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Use of Proceeds</w:t>
      </w:r>
    </w:p>
    <w:p>
      <w:r>
        <w:rPr>
          <w:b w:val="0"/>
          <w:i w:val="0"/>
          <w:color w:val="606060"/>
          <w:sz w:val="18"/>
        </w:rPr>
        <w:t>SBA 7(a) Application - Tyler Hospice Hold LLC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Total Project Sources and Uses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760"/>
          </w:tcPr>
          <w:p>
            <w:r/>
            <w:r>
              <w:rPr>
                <w:b/>
                <w:sz w:val="19"/>
              </w:rPr>
              <w:t>Use of funds</w:t>
            </w:r>
          </w:p>
        </w:tc>
        <w:tc>
          <w:tcPr>
            <w:tcW w:type="dxa" w:w="1584"/>
          </w:tcPr>
          <w:p>
            <w:r/>
            <w:r>
              <w:rPr>
                <w:b/>
                <w:sz w:val="19"/>
              </w:rPr>
              <w:t>Amount</w:t>
            </w:r>
          </w:p>
        </w:tc>
        <w:tc>
          <w:tcPr>
            <w:tcW w:type="dxa" w:w="2448"/>
          </w:tcPr>
          <w:p>
            <w:r/>
            <w:r>
              <w:rPr>
                <w:b/>
                <w:sz w:val="19"/>
              </w:rPr>
              <w:t>Funding source</w:t>
            </w:r>
          </w:p>
        </w:tc>
      </w:tr>
      <w:tr>
        <w:tc>
          <w:tcPr>
            <w:tcW w:type="dxa" w:w="5760"/>
          </w:tcPr>
          <w:p>
            <w:r/>
            <w:r>
              <w:rPr>
                <w:sz w:val="19"/>
              </w:rPr>
              <w:t>Acquisition of Hickory Hospice LLC - paid in full at close (CHOW; 100% membership interests)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$300,000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SBA + equity</w:t>
            </w:r>
          </w:p>
        </w:tc>
      </w:tr>
      <w:tr>
        <w:tc>
          <w:tcPr>
            <w:tcW w:type="dxa" w:w="5760"/>
          </w:tcPr>
          <w:p>
            <w:r/>
            <w:r>
              <w:rPr>
                <w:sz w:val="19"/>
              </w:rPr>
              <w:t>Startup one-time costs (855A filing, TX licensure, EMR, supply stock, legal, contingency)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$63,000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SBA + equity</w:t>
            </w:r>
          </w:p>
        </w:tc>
      </w:tr>
      <w:tr>
        <w:tc>
          <w:tcPr>
            <w:tcW w:type="dxa" w:w="5760"/>
          </w:tcPr>
          <w:p>
            <w:r/>
            <w:r>
              <w:rPr>
                <w:sz w:val="19"/>
              </w:rPr>
              <w:t>Equipment purchase (computers, office furniture)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$15,000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SBA + equity</w:t>
            </w:r>
          </w:p>
        </w:tc>
      </w:tr>
      <w:tr>
        <w:tc>
          <w:tcPr>
            <w:tcW w:type="dxa" w:w="5760"/>
          </w:tcPr>
          <w:p>
            <w:r/>
            <w:r>
              <w:rPr>
                <w:sz w:val="19"/>
              </w:rPr>
              <w:t>Working-capital reserve (opening cash; funds ramp payroll and SBA debt service)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$372,000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SBA + equity</w:t>
            </w:r>
          </w:p>
        </w:tc>
      </w:tr>
      <w:tr>
        <w:tc>
          <w:tcPr>
            <w:tcW w:type="dxa" w:w="5760"/>
          </w:tcPr>
          <w:p>
            <w:r/>
            <w:r>
              <w:rPr>
                <w:sz w:val="19"/>
              </w:rPr>
              <w:t>Total funds required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$750,000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</w:r>
          </w:p>
        </w:tc>
      </w:tr>
    </w:tbl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Loan Request Reconciliation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/>
            <w:r>
              <w:rPr>
                <w:b/>
                <w:sz w:val="19"/>
              </w:rPr>
              <w:t>Line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Amount</w:t>
            </w:r>
          </w:p>
        </w:tc>
      </w:tr>
      <w:tr>
        <w:tc>
          <w:tcPr>
            <w:tcW w:type="dxa" w:w="6480"/>
          </w:tcPr>
          <w:p>
            <w:r/>
            <w:r>
              <w:rPr>
                <w:sz w:val="19"/>
              </w:rPr>
              <w:t>Total funds required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$750,000</w:t>
            </w:r>
          </w:p>
        </w:tc>
      </w:tr>
      <w:tr>
        <w:tc>
          <w:tcPr>
            <w:tcW w:type="dxa" w:w="6480"/>
          </w:tcPr>
          <w:p>
            <w:r/>
            <w:r>
              <w:rPr>
                <w:sz w:val="19"/>
              </w:rPr>
              <w:t>Less: borrower equity injection (cash capital contribution)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($195,000)</w:t>
            </w:r>
          </w:p>
        </w:tc>
      </w:tr>
      <w:tr>
        <w:tc>
          <w:tcPr>
            <w:tcW w:type="dxa" w:w="6480"/>
          </w:tcPr>
          <w:p>
            <w:r/>
            <w:r>
              <w:rPr>
                <w:sz w:val="19"/>
              </w:rPr>
              <w:t>Total SBA 7(a) loan request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$555,000</w:t>
            </w:r>
          </w:p>
        </w:tc>
      </w:tr>
    </w:tbl>
    <w:p>
      <w:r>
        <w:rPr>
          <w:b w:val="0"/>
          <w:i/>
          <w:sz w:val="19"/>
        </w:rPr>
        <w:t>The seller is paid in full at close from SBA proceeds plus the equity injection; there is no retained seller note, so the SBA loan is the only debt the business carries. The $195,000 equity injection is 26.0% of the $750,000 project - well above the 10% SOP 50 10 8 minimum, though below the ~30% down some startup lenders prefer.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Details on the transaction and use of working capital</w:t>
      </w:r>
    </w:p>
    <w:p>
      <w:r>
        <w:rPr>
          <w:b w:val="0"/>
          <w:i w:val="0"/>
          <w:sz w:val="21"/>
        </w:rPr>
        <w:t>This is a change-of-ownership (CHOW) acquisition of Hickory Hospice LLC, an established, Medicare-certified hospice, structured as a purchase of 100% of its membership interests. The $300,000 purchase price for the existing Medicare provider number is paid in full at close from SBA proceeds and the equity injection - there is no retained seller note, so the SBA loan is the only debt the business carries. The acquired provider number, state license, and CHAP/ACHC accreditation transfer in the CHOW, so the agency is billing-ready from day one.</w:t>
      </w:r>
    </w:p>
    <w:p>
      <w:r>
        <w:rPr>
          <w:b w:val="0"/>
          <w:i w:val="0"/>
          <w:sz w:val="21"/>
        </w:rPr>
        <w:t>After the $300,000 acquisition payoff and $78,000 of startup costs and equipment, the SBA loan and the equity injection fund a $372,000 working-capital reserve. The reserve carries ramp-period payroll and SBA debt service while accounts receivable normalize to the ~45-day Medicare cycle. Because there is no seller note, Year-1 debt service is the SBA loan alone (~$93,637/yr), so the reserve stretches further than under a dual-debt structure.</w:t>
      </w:r>
    </w:p>
    <w:p>
      <w:r>
        <w:rPr>
          <w:b w:val="0"/>
          <w:i/>
          <w:sz w:val="19"/>
        </w:rPr>
        <w:t>Source of the borrower's equity injection: $195,000 in cash, provided as a capital contribution by minority member James Bullard (19.5% non-controlling interest) in exchange for his equity interest. This is a bona fide, non-borrowed equity injection equal to 26.0% of total project cost - more than than 2.5 times the 10% minimum required under SOP 50 10 8, though below the ~30% down some startup lenders prefer. The injection is verified by Mr. Bullard's bank / brokerage statements and the capital-contribution wire into the company's account. Because Mr. Bullard is a passive investor holding less than 20% with no management or control rights and no side agreement, his contribution counts as qualifying equity without triggering a personal guaranty (consistent with SOP 50 10 8 and 13 CFR 120.160).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How will this loan benefit the company?</w:t>
      </w:r>
    </w:p>
    <w:p>
      <w:r>
        <w:rPr>
          <w:b w:val="0"/>
          <w:i w:val="0"/>
          <w:sz w:val="21"/>
        </w:rPr>
        <w:t>The loan capitalizes the acquisition and relaunch of an established, billing-ready hospice on validated local economics, led by an experienced East-Texas clinical and business-development team with established referral relationships. It funds the working capital required to operate from day one through the receivables-normalization period and to grow census with the team's referral pipeline, producing combined debt-service coverage that clears the 1.25x floor in every year and strengthens as census builds.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