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Schedule of Business Debts</w:t>
      </w:r>
    </w:p>
    <w:p>
      <w:r>
        <w:rPr>
          <w:b w:val="0"/>
          <w:i w:val="0"/>
          <w:color w:val="606060"/>
          <w:sz w:val="18"/>
        </w:rPr>
        <w:t>Borrower: Tyler Hospice Hold LLC (dba Azalea Hospice &amp; Palliative Care)</w:t>
      </w:r>
    </w:p>
    <w:p>
      <w:r>
        <w:rPr>
          <w:b/>
        </w:rPr>
        <w:t xml:space="preserve">As of:  </w:t>
      </w:r>
      <w:r>
        <w:t>__________ (to provide)  (most recent month-end, not older than 60 days)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sz w:val="21"/>
        </w:rPr>
        <w:t>Tyler Hospice Hold LLC is a newly formed holding entity and carries no existing business debt prior to this transaction. The Hickory acquisition is paid in full at close from SBA proceeds and the equity injection - there is no seller note or other carried debt. After close, the only business debt is the SBA 7(a) loan itself.</w:t>
      </w:r>
    </w:p>
    <w:p>
      <w:r>
        <w:rPr>
          <w:b w:val="0"/>
          <w:i w:val="0"/>
          <w:sz w:val="21"/>
        </w:rPr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Lender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Orig. date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Orig. amount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9"/>
              </w:rPr>
              <w:t>Rate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Payment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Collateral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(No existing or proposed business debt other than the subject SBA 7(a) loan)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$0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-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Government Financing</w:t>
      </w:r>
    </w:p>
    <w:p>
      <w:r>
        <w:rPr>
          <w:b w:val="0"/>
          <w:i/>
          <w:sz w:val="21"/>
        </w:rPr>
        <w:t>Tyler Hospice Hold LLC, its owners, and affiliated companies have no prior or outstanding government financing (no PPP, EIDL, or other federal stimulus or government loans). Confirm for each 20%+ owner and affiliate.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00"/>
          </w:tcPr>
          <w:p>
            <w:r/>
            <w:r>
              <w:rPr>
                <w:b/>
                <w:sz w:val="19"/>
              </w:rPr>
              <w:t>Government agency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Orig. amount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Date of request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None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-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