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Control, No Side Agreement</w:t>
      </w:r>
    </w:p>
    <w:p>
      <w:r>
        <w:rPr>
          <w:b w:val="0"/>
          <w:i w:val="0"/>
          <w:color w:val="606060"/>
          <w:sz w:val="18"/>
        </w:rPr>
        <w:t>Tyler Hospice Hold LLC (dba Azalea Hospice &amp; Palliative Care) - SBA 7(a) Application</w:t>
      </w:r>
    </w:p>
    <w:p>
      <w:r>
        <w:rPr>
          <w:b w:val="0"/>
          <w:i w:val="0"/>
          <w:sz w:val="21"/>
        </w:rPr>
      </w:r>
    </w:p>
    <w:p>
      <w:r>
        <w:rPr>
          <w:b w:val="0"/>
          <w:i w:val="0"/>
          <w:sz w:val="21"/>
        </w:rPr>
        <w:t>The undersigned, James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19.5% direct membership interest in the Company, acquired in exchange for a $195,000 cash capital contribution. My contribution is being made in tranches: $100,000 was wired to the Company's operating account on May 7, 2026, with the remaining $95,000 scheduled to be contributed by July 31, 2026. The funds are my own non-borrowed cash;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Managing Member is Adeline &amp; Lilah, LLC (Geoff Schackmann, sole member), who has sole authority over management, hiring, financial decisions, and Company operations.</w:t>
      </w:r>
    </w:p>
    <w:p>
      <w:r>
        <w:rPr>
          <w:b/>
          <w:color w:val="1F3864"/>
          <w:sz w:val="23"/>
        </w:rPr>
        <w:t>3. No voting control or governance rights beyond ordinary minority interest</w:t>
      </w:r>
    </w:p>
    <w:p>
      <w:r>
        <w:rPr>
          <w:b w:val="0"/>
          <w:i w:val="0"/>
          <w:sz w:val="21"/>
        </w:rPr>
        <w:t>My equity interest entitles me only to economic returns and customary minority-member rights under the Company's Operating Agreement and applicable state law. I have no veto, no class of preferred voting rights, no special board or manager-appointment rights, no consent rights over ordinary-course business decisions, and no other governance right that would give me control or de facto control of the Company.</w:t>
      </w:r>
    </w:p>
    <w:p>
      <w:r>
        <w:rPr>
          <w:b/>
          <w:color w:val="1F3864"/>
          <w:sz w:val="23"/>
        </w:rPr>
        <w:t>4. No side agreement, option, or convertible instrument</w:t>
      </w:r>
    </w:p>
    <w:p>
      <w:r>
        <w:rPr>
          <w:b w:val="0"/>
          <w:i w:val="0"/>
          <w:sz w:val="21"/>
        </w:rPr>
        <w:t>There is no written or oral side agreement, voting agreement, proxy, option, warrant, convertible note, profits-interest plan, earnout, employment arrangement, or other instrument between me and the Company, the Managing Member, or any other equity holder that would (i) increase my equity interest to 20% or more, (ii) give me voting or management control of the Company, or (iii) entitle me to direct or restrict the Company's operations, financing, or strategic decisions.</w:t>
      </w:r>
    </w:p>
    <w:p>
      <w:r>
        <w:rPr>
          <w:b/>
          <w:color w:val="1F3864"/>
          <w:sz w:val="23"/>
        </w:rPr>
        <w:t>5. Independent affiliation</w:t>
      </w:r>
    </w:p>
    <w:p>
      <w:r>
        <w:rPr>
          <w:b w:val="0"/>
          <w:i w:val="0"/>
          <w:sz w:val="21"/>
        </w:rPr>
        <w:t>I am not affiliated with the Company by virtue of common ownership, common management, identity of interest, or any contractual arrangement other than my passive minority equity interest described above. I am acting solely as an investor in the Company.</w:t>
      </w:r>
    </w:p>
    <w:p>
      <w:r>
        <w:rPr>
          <w:b/>
          <w:color w:val="1F3864"/>
          <w:sz w:val="23"/>
        </w:rPr>
        <w:t>6.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the addition of any control right,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r>
    </w:p>
    <w:p>
      <w:r>
        <w:rPr>
          <w:b w:val="0"/>
          <w:i w:val="0"/>
          <w:sz w:val="21"/>
        </w:rPr>
        <w:t>______________________________________________________</w:t>
      </w:r>
    </w:p>
    <w:p>
      <w:r>
        <w:rPr>
          <w:b/>
          <w:i w:val="0"/>
          <w:sz w:val="21"/>
        </w:rPr>
        <w:t>James Bullard</w:t>
      </w:r>
    </w:p>
    <w:p>
      <w:r>
        <w:rPr>
          <w:b w:val="0"/>
          <w:i w:val="0"/>
          <w:sz w:val="21"/>
        </w:rPr>
        <w:t>Date: ___________________________</w:t>
      </w:r>
    </w:p>
    <w:p>
      <w:r>
        <w:rPr>
          <w:b w:val="0"/>
          <w:i w:val="0"/>
          <w:sz w:val="21"/>
        </w:rPr>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Drafted for the SBA 7(a) application of Tyler Hospice Hold LLC. Have counsel review before execution. The structure described above is reflected in the Company's Operating Agreement; if the Operating Agreement has not yet been amended to match, do that first.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