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HOLDCO L.L.C. -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HoldCo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so that each operator starts at a 4.9% vested base and earns up to a fully-vested 13.3% through an 8.4% earn-up portion subject to dual-trigger (time and performance) vesting, with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*Each Restricted Interest of Silas R. Shelton, Dana L. Davenport, and Bradley Gene Woodard is issued and outstanding at 13.3% but comprises a 4.9% Initial Vested Base (Vested at the Effective Date) and an 8.4% Earn-Up Portion that is subject to the Forfeiture Conditions of Article V of the Original OA as modified by Section 4 of this Amendment; each Equity Grantee thus starts at 4.9% Vested and may earn up to a fully-Vested 13.3%.</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9.1(d),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and components. Section 5.1 of the Original OA is amended so that the Restricted Interest of each of Silas R. Shelton, Dana L. Davenport, and Bradley Gene Woodard (each, an "Equity Grantee") is sized at thirteen and three-tenths percent (13.3%) of the Company, issued and outstanding as of the Effective Date and held subject to this Section 4. Each Equity Grantee's Restricted Interest comprises two components:</w:t>
      </w:r>
    </w:p>
    <w:p>
      <w:r>
        <w:rPr>
          <w:b w:val="0"/>
          <w:i w:val="0"/>
          <w:sz w:val="21"/>
        </w:rPr>
        <w:t xml:space="preserve">   (a) Initial Vested Base - four and nine-tenths percent (4.9%), corresponding to the Equity Grantee's original Percentage Interest under the Original OA, which is Vested and non-forfeitable as of the Effective Date (but remains subject to the Company repurchase (call) right under Section 4.5); and</w:t>
      </w:r>
    </w:p>
    <w:p>
      <w:r>
        <w:rPr>
          <w:b w:val="0"/>
          <w:i w:val="0"/>
          <w:sz w:val="21"/>
        </w:rPr>
        <w:t xml:space="preserve">   (b) Earn-Up Portion - the remaining eight and four-tenths percent (8.4%), which is initially Unvested and becomes Vested only as the Equity Grantee satisfies both the time and performance conditions of Section 4.2, so that each Equity Grantee starts at 4.9% Vested and may earn up to a fully-Vested 13.3%.</w:t>
      </w:r>
    </w:p>
    <w:p>
      <w:r>
        <w:rPr>
          <w:b w:val="0"/>
          <w:i w:val="0"/>
          <w:sz w:val="21"/>
        </w:rPr>
        <w:t>The milestone tranche sizing in Section 5.2 is amended to apply to the Earn-Up Portion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8.4% Earn-Up)</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Earn-Up</w:t>
            </w:r>
          </w:p>
        </w:tc>
        <w:tc>
          <w:tcPr>
            <w:tcW w:type="dxa" w:w="2160"/>
          </w:tcPr>
          <w:p>
            <w:r/>
            <w:r>
              <w:rPr>
                <w:sz w:val="19"/>
              </w:rPr>
              <w:t>2.100%</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Earn-Up</w:t>
            </w:r>
          </w:p>
        </w:tc>
        <w:tc>
          <w:tcPr>
            <w:tcW w:type="dxa" w:w="2160"/>
          </w:tcPr>
          <w:p>
            <w:r/>
            <w:r>
              <w:rPr>
                <w:sz w:val="19"/>
              </w:rPr>
              <w:t>4.200%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Earn-Up</w:t>
            </w:r>
          </w:p>
        </w:tc>
        <w:tc>
          <w:tcPr>
            <w:tcW w:type="dxa" w:w="2160"/>
          </w:tcPr>
          <w:p>
            <w:r/>
            <w:r>
              <w:rPr>
                <w:sz w:val="19"/>
              </w:rPr>
              <w:t>2.100%</w:t>
            </w:r>
          </w:p>
        </w:tc>
      </w:tr>
      <w:tr>
        <w:tc>
          <w:tcPr>
            <w:tcW w:type="dxa" w:w="1440"/>
          </w:tcPr>
          <w:p>
            <w:r/>
            <w:r>
              <w:rPr>
                <w:sz w:val="19"/>
              </w:rPr>
              <w:t>Earn-Up subtotal</w:t>
            </w:r>
          </w:p>
        </w:tc>
        <w:tc>
          <w:tcPr>
            <w:tcW w:type="dxa" w:w="3600"/>
          </w:tcPr>
          <w:p>
            <w:r/>
            <w:r>
              <w:rPr>
                <w:sz w:val="19"/>
              </w:rPr>
            </w:r>
          </w:p>
        </w:tc>
        <w:tc>
          <w:tcPr>
            <w:tcW w:type="dxa" w:w="2304"/>
          </w:tcPr>
          <w:p>
            <w:r/>
            <w:r>
              <w:rPr>
                <w:sz w:val="19"/>
              </w:rPr>
              <w:t>100% of Earn-Up</w:t>
            </w:r>
          </w:p>
        </w:tc>
        <w:tc>
          <w:tcPr>
            <w:tcW w:type="dxa" w:w="2160"/>
          </w:tcPr>
          <w:p>
            <w:r/>
            <w:r>
              <w:rPr>
                <w:sz w:val="19"/>
              </w:rPr>
              <w:t>8.400%</w:t>
            </w:r>
          </w:p>
        </w:tc>
      </w:tr>
      <w:tr>
        <w:tc>
          <w:tcPr>
            <w:tcW w:type="dxa" w:w="1440"/>
          </w:tcPr>
          <w:p>
            <w:r/>
            <w:r>
              <w:rPr>
                <w:sz w:val="19"/>
              </w:rPr>
              <w:t>Initial Vested Base</w:t>
            </w:r>
          </w:p>
        </w:tc>
        <w:tc>
          <w:tcPr>
            <w:tcW w:type="dxa" w:w="3600"/>
          </w:tcPr>
          <w:p>
            <w:r/>
            <w:r>
              <w:rPr>
                <w:sz w:val="19"/>
              </w:rPr>
              <w:t>Vested at Effective Date</w:t>
            </w:r>
          </w:p>
        </w:tc>
        <w:tc>
          <w:tcPr>
            <w:tcW w:type="dxa" w:w="2304"/>
          </w:tcPr>
          <w:p>
            <w:r/>
            <w:r>
              <w:rPr>
                <w:sz w:val="19"/>
              </w:rPr>
              <w:t>-</w:t>
            </w:r>
          </w:p>
        </w:tc>
        <w:tc>
          <w:tcPr>
            <w:tcW w:type="dxa" w:w="2160"/>
          </w:tcPr>
          <w:p>
            <w:r/>
            <w:r>
              <w:rPr>
                <w:sz w:val="19"/>
              </w:rPr>
              <w:t>4.900%</w:t>
            </w:r>
          </w:p>
        </w:tc>
      </w:tr>
      <w:tr>
        <w:tc>
          <w:tcPr>
            <w:tcW w:type="dxa" w:w="1440"/>
          </w:tcPr>
          <w:p>
            <w:r/>
            <w:r>
              <w:rPr>
                <w:sz w:val="19"/>
              </w:rPr>
              <w:t>Total per Equity Grantee</w:t>
            </w:r>
          </w:p>
        </w:tc>
        <w:tc>
          <w:tcPr>
            <w:tcW w:type="dxa" w:w="3600"/>
          </w:tcPr>
          <w:p>
            <w:r/>
            <w:r>
              <w:rPr>
                <w:sz w:val="19"/>
              </w:rPr>
            </w:r>
          </w:p>
        </w:tc>
        <w:tc>
          <w:tcPr>
            <w:tcW w:type="dxa" w:w="2304"/>
          </w:tcPr>
          <w:p>
            <w:r/>
            <w:r>
              <w:rPr>
                <w:sz w:val="19"/>
              </w:rPr>
            </w:r>
          </w:p>
        </w:tc>
        <w:tc>
          <w:tcPr>
            <w:tcW w:type="dxa" w:w="2160"/>
          </w:tcPr>
          <w:p>
            <w:r/>
            <w:r>
              <w:rPr>
                <w:sz w:val="19"/>
              </w:rPr>
              <w:t>13.300%</w:t>
            </w:r>
          </w:p>
        </w:tc>
      </w:tr>
    </w:tbl>
    <w:p>
      <w:r>
        <w:rPr>
          <w:b w:val="0"/>
          <w:i w:val="0"/>
          <w:sz w:val="21"/>
        </w:rPr>
        <w:t>4.2 Vesting of the Earn-Up Portion - dual trigger (time AND performance). The Initial Vested Base (Section 4.1(a)) is Vested as of the Effective Date. Section 5.2 of the Original OA is amended so that the Earn-Up Portion (Section 4.1(b)) becomes vested and non-forfeitable ("Vested") only to the extent BOTH of the following are satisfied. The Vested percentage of the Earn-Up Portion at any time equals the LESSER of (a) and (b):</w:t>
      </w:r>
    </w:p>
    <w:p>
      <w:r>
        <w:rPr>
          <w:b w:val="0"/>
          <w:i w:val="0"/>
          <w:sz w:val="21"/>
        </w:rPr>
        <w:t xml:space="preserve">   (a) Time-vesting. Continuous Service from the Effective Date on a four-year schedule with a one-year cliff, applied to the Earn-Up Portion: nothing in the Earn-Up Portion vests before the first anniversary; twenty-five percent (25%) of the Earn-Up Portion vests on the first anniversary (the "Cliff"); and the remaining seventy-five percent (75%) vests in thirty-six (36) equal monthly installments over months 13-48, so that 100% of the Earn-Up Portion is time-vested on the fourth anniversary. "Continuous Service" means continuous service to the Company or the Acquired Agency as an employee, officer, or manager.</w:t>
      </w:r>
    </w:p>
    <w:p>
      <w:r>
        <w:rPr>
          <w:b w:val="0"/>
          <w:i w:val="0"/>
          <w:sz w:val="21"/>
        </w:rPr>
        <w:t xml:space="preserve">   (b) Performance-vesting. The milestone tranches in Section 4.1 (Breakeven; 3 consecutive Profitable months; 12 consecutive Profitable months), determined under Sections 5.2-5.3 of the Original OA.</w:t>
      </w:r>
    </w:p>
    <w:p>
      <w:r>
        <w:rPr>
          <w:b w:val="0"/>
          <w:i w:val="0"/>
          <w:sz w:val="21"/>
        </w:rPr>
        <w:t>Both conditions must be met for any portion of the Earn-Up Portion to vest; satisfying only one does not vest it. The unvested balance of the Earn-Up Portion is "Unvested." The Initial Vested Base under Section 4.1(a) is not Unvested and is not subject to the forfeiture under Section 4.4. A Grantee's total Vested Interest at any time equals the Initial Vested Base (4.9%) plus the then-Vested portion of the Earn-Up Portion.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any seller financing)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partnership tax treatment under Section 2 of this Amendment and any intended profits-interest treatment under Rev. Proc. 93-27; each Equity Grantee should consult independent tax counsel.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arithmetic (clarification to Section 2.20 of the Original OA)</w:t>
      </w:r>
    </w:p>
    <w:p>
      <w:r>
        <w:rPr>
          <w:b w:val="0"/>
          <w:i w:val="0"/>
          <w:sz w:val="21"/>
        </w:rPr>
        <w:t>For the avoidance of doubt and reflecting the restated cap table in Section 1 of this Amendment, the parties acknowledge that:</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Restricted Interest (4.9% Vested base; 8.4% Earn-Up subject to Forfeiture Conditions)</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Restricted Interest (4.9% Vested base; 8.4% Earn-Up subject to Forfeiture Conditions)</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Restricted Interest (4.9% Vested base; 8.4% Earn-Up subject to Forfeiture Conditions)</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