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as Restricted Interests that vest only on a dual trigger - a four-year time schedule with a one-year cliff AND performance milestones, the lesser of the two governing - recorded in the Operating Agreement (Amendment No. 1). Unvested interests are forfeited at $0 on departure; vested interests are subject to a Company repurchase (call) right at fair market value for a good-leaver separation (no-cause termination, death, disability, retirement) or the lower of cost or fair market value for a bad-leaver separation (resignation before full vesting, or termination for cause).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