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HOLDCO L.L.C. -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HoldCo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with dual-trigger (time and performance) vesting and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*Restricted Interests of Silas R. Shelton, Dana L. Davenport, and Bradley Gene Woodard are subject to the Forfeiture Conditions of Article V of the Original OA as modified by Section 4 of this Amendment.</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9.1(d),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Section 5.1 of the Original OA is amended so that the Restricted Interest of each of Silas R. Shelton, Dana L. Davenport, and Bradley Gene Woodard (each, an "Equity Grantee") is sized at thirteen and three-tenths percent (13.3%) of the Company (rather than 4.9%). The milestone tranche sizing in Section 5.2 is scaled proportionally to the 13.3% grant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13.3% grant)</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grant</w:t>
            </w:r>
          </w:p>
        </w:tc>
        <w:tc>
          <w:tcPr>
            <w:tcW w:type="dxa" w:w="2160"/>
          </w:tcPr>
          <w:p>
            <w:r/>
            <w:r>
              <w:rPr>
                <w:sz w:val="19"/>
              </w:rPr>
              <w:t>3.325%</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grant</w:t>
            </w:r>
          </w:p>
        </w:tc>
        <w:tc>
          <w:tcPr>
            <w:tcW w:type="dxa" w:w="2160"/>
          </w:tcPr>
          <w:p>
            <w:r/>
            <w:r>
              <w:rPr>
                <w:sz w:val="19"/>
              </w:rPr>
              <w:t>6.650%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grant</w:t>
            </w:r>
          </w:p>
        </w:tc>
        <w:tc>
          <w:tcPr>
            <w:tcW w:type="dxa" w:w="2160"/>
          </w:tcPr>
          <w:p>
            <w:r/>
            <w:r>
              <w:rPr>
                <w:sz w:val="19"/>
              </w:rPr>
              <w:t>3.325%</w:t>
            </w:r>
          </w:p>
        </w:tc>
      </w:tr>
      <w:tr>
        <w:tc>
          <w:tcPr>
            <w:tcW w:type="dxa" w:w="1440"/>
          </w:tcPr>
          <w:p>
            <w:r/>
            <w:r>
              <w:rPr>
                <w:sz w:val="19"/>
              </w:rPr>
              <w:t>Total per Equity Grantee</w:t>
            </w:r>
          </w:p>
        </w:tc>
        <w:tc>
          <w:tcPr>
            <w:tcW w:type="dxa" w:w="3600"/>
          </w:tcPr>
          <w:p>
            <w:r/>
            <w:r>
              <w:rPr>
                <w:sz w:val="19"/>
              </w:rPr>
            </w:r>
          </w:p>
        </w:tc>
        <w:tc>
          <w:tcPr>
            <w:tcW w:type="dxa" w:w="2304"/>
          </w:tcPr>
          <w:p>
            <w:r/>
            <w:r>
              <w:rPr>
                <w:sz w:val="19"/>
              </w:rPr>
              <w:t>100%</w:t>
            </w:r>
          </w:p>
        </w:tc>
        <w:tc>
          <w:tcPr>
            <w:tcW w:type="dxa" w:w="2160"/>
          </w:tcPr>
          <w:p>
            <w:r/>
            <w:r>
              <w:rPr>
                <w:sz w:val="19"/>
              </w:rPr>
              <w:t>13.300%</w:t>
            </w:r>
          </w:p>
        </w:tc>
      </w:tr>
    </w:tbl>
    <w:p>
      <w:r>
        <w:rPr>
          <w:b w:val="0"/>
          <w:i w:val="0"/>
          <w:sz w:val="21"/>
        </w:rPr>
        <w:t>4.2 Vesting - dual trigger (time AND performance). Section 5.2 of the Original OA is amended so that a Restricted Interest becomes vested and non-forfeitable ("Vested") only to the extent BOTH of the following are satisfied. The Vested percentage at any time equals the LESSER of (a) and (b):</w:t>
      </w:r>
    </w:p>
    <w:p>
      <w:r>
        <w:rPr>
          <w:b w:val="0"/>
          <w:i w:val="0"/>
          <w:sz w:val="21"/>
        </w:rPr>
        <w:t xml:space="preserve">   (a) Time-vesting. Continuous Service from the Effective Date on a four-year schedule with a one-year cliff: nothing vests before the first anniversary; twenty-five percent (25%) vests on the first anniversary (the "Cliff"); and the remaining seventy-five percent (75%) vests in thirty-six (36) equal monthly installments over months 13-48, so that 100% is time-vested on the fourth anniversary. "Continuous Service" means continuous service to the Company or the Acquired Agency as an employee, officer, or manager.</w:t>
      </w:r>
    </w:p>
    <w:p>
      <w:r>
        <w:rPr>
          <w:b w:val="0"/>
          <w:i w:val="0"/>
          <w:sz w:val="21"/>
        </w:rPr>
        <w:t xml:space="preserve">   (b) Performance-vesting. The milestone tranches in Section 4.1 (Breakeven; 3 consecutive Profitable months; 12 consecutive Profitable months), determined under Sections 5.2-5.3 of the Original OA.</w:t>
      </w:r>
    </w:p>
    <w:p>
      <w:r>
        <w:rPr>
          <w:b w:val="0"/>
          <w:i w:val="0"/>
          <w:sz w:val="21"/>
        </w:rPr>
        <w:t>Both conditions must be met for an interest to vest; satisfying only one does not vest it. The balance is "Unvested."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any seller financing)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partnership tax treatment under Section 2 of this Amendment and any intended profits-interest treatment under Rev. Proc. 93-27; each Equity Grantee should consult independent tax counsel.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arithmetic (clarification to Section 2.20 of the Original OA)</w:t>
      </w:r>
    </w:p>
    <w:p>
      <w:r>
        <w:rPr>
          <w:b w:val="0"/>
          <w:i w:val="0"/>
          <w:sz w:val="21"/>
        </w:rPr>
        <w:t>For the avoidance of doubt and reflecting the restated cap table in Section 1 of this Amendment, the parties acknowledge that:</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(subject to Forfeiture Conditions)</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(subject to Forfeiture Conditions)</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(subject to Forfeiture Conditions)</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