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Equity Injection &amp; Capital Structure - SOP 50 10 8 Compliance</w:t>
      </w:r>
    </w:p>
    <w:p>
      <w:r>
        <w:rPr>
          <w:b w:val="0"/>
          <w:i w:val="0"/>
          <w:color w:val="606060"/>
          <w:sz w:val="18"/>
        </w:rPr>
        <w:t>SBA 7(a) Application - Tyler Hospice Hold LLC (dba Azalea Hospice &amp; Palliative Care)</w:t>
      </w:r>
    </w:p>
    <w:p>
      <w:r>
        <w:rPr>
          <w:b w:val="0"/>
          <w:i w:val="0"/>
          <w:sz w:val="21"/>
        </w:rPr>
      </w:r>
    </w:p>
    <w:p>
      <w:r>
        <w:rPr>
          <w:b w:val="0"/>
          <w:i w:val="0"/>
          <w:sz w:val="21"/>
        </w:rPr>
        <w:t>This memo documents how the transaction satisfies the equity-injection requirements of SOP 50 10 8 (effective June 1, 2025) for a complete change of ownership, and how the investor's contribution is structured so that it qualifies as equity without triggering a personal guaranty.</w:t>
      </w:r>
    </w:p>
    <w:p>
      <w:r>
        <w:rPr>
          <w:b/>
          <w:color w:val="1F3864"/>
          <w:sz w:val="23"/>
        </w:rPr>
        <w:t>Capital structure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4608"/>
          </w:tcPr>
          <w:p>
            <w:r/>
            <w:r>
              <w:rPr>
                <w:b/>
                <w:sz w:val="19"/>
              </w:rPr>
              <w:t>Source</w:t>
            </w:r>
          </w:p>
        </w:tc>
        <w:tc>
          <w:tcPr>
            <w:tcW w:type="dxa" w:w="1584"/>
          </w:tcPr>
          <w:p>
            <w:r/>
            <w:r>
              <w:rPr>
                <w:b/>
                <w:sz w:val="19"/>
              </w:rPr>
              <w:t>Amount</w:t>
            </w:r>
          </w:p>
        </w:tc>
        <w:tc>
          <w:tcPr>
            <w:tcW w:type="dxa" w:w="1584"/>
          </w:tcPr>
          <w:p>
            <w:r/>
            <w:r>
              <w:rPr>
                <w:b/>
                <w:sz w:val="19"/>
              </w:rPr>
              <w:t>% of project</w:t>
            </w:r>
          </w:p>
        </w:tc>
        <w:tc>
          <w:tcPr>
            <w:tcW w:type="dxa" w:w="2592"/>
          </w:tcPr>
          <w:p>
            <w:r/>
            <w:r>
              <w:rPr>
                <w:b/>
                <w:sz w:val="19"/>
              </w:rPr>
              <w:t>Treatment</w:t>
            </w:r>
          </w:p>
        </w:tc>
      </w:tr>
      <w:tr>
        <w:tc>
          <w:tcPr>
            <w:tcW w:type="dxa" w:w="4608"/>
          </w:tcPr>
          <w:p>
            <w:r/>
            <w:r>
              <w:rPr>
                <w:sz w:val="19"/>
              </w:rPr>
              <w:t>SBA 7(a) loan</w:t>
            </w:r>
          </w:p>
        </w:tc>
        <w:tc>
          <w:tcPr>
            <w:tcW w:type="dxa" w:w="1584"/>
          </w:tcPr>
          <w:p>
            <w:r/>
            <w:r>
              <w:rPr>
                <w:sz w:val="19"/>
              </w:rPr>
              <w:t>$555,000</w:t>
            </w:r>
          </w:p>
        </w:tc>
        <w:tc>
          <w:tcPr>
            <w:tcW w:type="dxa" w:w="1584"/>
          </w:tcPr>
          <w:p>
            <w:r/>
            <w:r>
              <w:rPr>
                <w:sz w:val="19"/>
              </w:rPr>
              <w:t>74.0%</w:t>
            </w:r>
          </w:p>
        </w:tc>
        <w:tc>
          <w:tcPr>
            <w:tcW w:type="dxa" w:w="2592"/>
          </w:tcPr>
          <w:p>
            <w:r/>
            <w:r>
              <w:rPr>
                <w:sz w:val="19"/>
              </w:rPr>
              <w:t>Senior debt (only debt the business carries)</w:t>
            </w:r>
          </w:p>
        </w:tc>
      </w:tr>
      <w:tr>
        <w:tc>
          <w:tcPr>
            <w:tcW w:type="dxa" w:w="4608"/>
          </w:tcPr>
          <w:p>
            <w:r/>
            <w:r>
              <w:rPr>
                <w:sz w:val="19"/>
              </w:rPr>
              <w:t>Equity injection - cash (James Bullard, 19.5% member)</w:t>
            </w:r>
          </w:p>
        </w:tc>
        <w:tc>
          <w:tcPr>
            <w:tcW w:type="dxa" w:w="1584"/>
          </w:tcPr>
          <w:p>
            <w:r/>
            <w:r>
              <w:rPr>
                <w:sz w:val="19"/>
              </w:rPr>
              <w:t>$195,000</w:t>
            </w:r>
          </w:p>
        </w:tc>
        <w:tc>
          <w:tcPr>
            <w:tcW w:type="dxa" w:w="1584"/>
          </w:tcPr>
          <w:p>
            <w:r/>
            <w:r>
              <w:rPr>
                <w:sz w:val="19"/>
              </w:rPr>
              <w:t>26.0%</w:t>
            </w:r>
          </w:p>
        </w:tc>
        <w:tc>
          <w:tcPr>
            <w:tcW w:type="dxa" w:w="2592"/>
          </w:tcPr>
          <w:p>
            <w:r/>
            <w:r>
              <w:rPr>
                <w:sz w:val="19"/>
              </w:rPr>
              <w:t>Qualifying equity injection</w:t>
            </w:r>
          </w:p>
        </w:tc>
      </w:tr>
      <w:tr>
        <w:tc>
          <w:tcPr>
            <w:tcW w:type="dxa" w:w="4608"/>
          </w:tcPr>
          <w:p>
            <w:r/>
            <w:r>
              <w:rPr>
                <w:sz w:val="19"/>
              </w:rPr>
              <w:t>Total project cost</w:t>
            </w:r>
          </w:p>
        </w:tc>
        <w:tc>
          <w:tcPr>
            <w:tcW w:type="dxa" w:w="1584"/>
          </w:tcPr>
          <w:p>
            <w:r/>
            <w:r>
              <w:rPr>
                <w:sz w:val="19"/>
              </w:rPr>
              <w:t>$750,000</w:t>
            </w:r>
          </w:p>
        </w:tc>
        <w:tc>
          <w:tcPr>
            <w:tcW w:type="dxa" w:w="1584"/>
          </w:tcPr>
          <w:p>
            <w:r/>
            <w:r>
              <w:rPr>
                <w:sz w:val="19"/>
              </w:rPr>
              <w:t>100%</w:t>
            </w:r>
          </w:p>
        </w:tc>
        <w:tc>
          <w:tcPr>
            <w:tcW w:type="dxa" w:w="2592"/>
          </w:tcPr>
          <w:p>
            <w:r/>
            <w:r>
              <w:rPr>
                <w:sz w:val="19"/>
              </w:rPr>
              <w:t>Seller paid in full at close (no retained note)</w:t>
            </w:r>
          </w:p>
        </w:tc>
      </w:tr>
    </w:tbl>
    <w:p>
      <w:r>
        <w:rPr>
          <w:b/>
          <w:color w:val="1F3864"/>
          <w:sz w:val="23"/>
        </w:rPr>
        <w:t>1. The injection is 2.6x the 10% minimum</w:t>
      </w:r>
    </w:p>
    <w:p>
      <w:r>
        <w:rPr>
          <w:b w:val="0"/>
          <w:i w:val="0"/>
          <w:sz w:val="21"/>
        </w:rPr>
        <w:t>SOP 50 10 8 requires a minimum equity injection of at least 10% of total project cost for a startup / complete change of ownership - here, $75,000. The transaction injects $195,000 of cash equity (26.0% of project cost), comfortably above the 10% floor, though below the ~30% down some startup a startup. The injection is non-borrowed cash, verified by the investor's bank / brokerage statements and the capital-contribution wire into the company's account, with funds seasoned in the contributor's account (lender to retain 30+ days of statements per the SOP verification standard).</w:t>
      </w:r>
    </w:p>
    <w:p>
      <w:r>
        <w:rPr>
          <w:b/>
          <w:color w:val="1F3864"/>
          <w:sz w:val="23"/>
        </w:rPr>
        <w:t>1a. Contribution status and schedule</w:t>
      </w:r>
    </w:p>
    <w:p>
      <w:r>
        <w:rPr>
          <w:b w:val="0"/>
          <w:i w:val="0"/>
          <w:sz w:val="21"/>
        </w:rPr>
        <w:t>The injection is being contributed in tranches to the borrower's Mercury (Column N.A.) operating account ending 1275. As of the date of this memo:</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152"/>
          </w:tcPr>
          <w:p>
            <w:r/>
            <w:r>
              <w:rPr>
                <w:b/>
                <w:sz w:val="19"/>
              </w:rPr>
              <w:t>Tranche</w:t>
            </w:r>
          </w:p>
        </w:tc>
        <w:tc>
          <w:tcPr>
            <w:tcW w:type="dxa" w:w="1728"/>
          </w:tcPr>
          <w:p>
            <w:r/>
            <w:r>
              <w:rPr>
                <w:b/>
                <w:sz w:val="19"/>
              </w:rPr>
              <w:t>Date</w:t>
            </w:r>
          </w:p>
        </w:tc>
        <w:tc>
          <w:tcPr>
            <w:tcW w:type="dxa" w:w="1728"/>
          </w:tcPr>
          <w:p>
            <w:r/>
            <w:r>
              <w:rPr>
                <w:b/>
                <w:sz w:val="19"/>
              </w:rPr>
              <w:t>Amount</w:t>
            </w:r>
          </w:p>
        </w:tc>
        <w:tc>
          <w:tcPr>
            <w:tcW w:type="dxa" w:w="2880"/>
          </w:tcPr>
          <w:p>
            <w:r/>
            <w:r>
              <w:rPr>
                <w:b/>
                <w:sz w:val="19"/>
              </w:rPr>
              <w:t>Method</w:t>
            </w:r>
          </w:p>
        </w:tc>
        <w:tc>
          <w:tcPr>
            <w:tcW w:type="dxa" w:w="2304"/>
          </w:tcPr>
          <w:p>
            <w:r/>
            <w:r>
              <w:rPr>
                <w:b/>
                <w:sz w:val="19"/>
              </w:rPr>
              <w:t>Status</w:t>
            </w:r>
          </w:p>
        </w:tc>
      </w:tr>
      <w:tr>
        <w:tc>
          <w:tcPr>
            <w:tcW w:type="dxa" w:w="1152"/>
          </w:tcPr>
          <w:p>
            <w:r/>
            <w:r>
              <w:rPr>
                <w:sz w:val="19"/>
              </w:rPr>
              <w:t>1 of 2</w:t>
            </w:r>
          </w:p>
        </w:tc>
        <w:tc>
          <w:tcPr>
            <w:tcW w:type="dxa" w:w="1728"/>
          </w:tcPr>
          <w:p>
            <w:r/>
            <w:r>
              <w:rPr>
                <w:sz w:val="19"/>
              </w:rPr>
              <w:t>May 7, 2026</w:t>
            </w:r>
          </w:p>
        </w:tc>
        <w:tc>
          <w:tcPr>
            <w:tcW w:type="dxa" w:w="1728"/>
          </w:tcPr>
          <w:p>
            <w:r/>
            <w:r>
              <w:rPr>
                <w:sz w:val="19"/>
              </w:rPr>
              <w:t>$100,000</w:t>
            </w:r>
          </w:p>
        </w:tc>
        <w:tc>
          <w:tcPr>
            <w:tcW w:type="dxa" w:w="2880"/>
          </w:tcPr>
          <w:p>
            <w:r/>
            <w:r>
              <w:rPr>
                <w:sz w:val="19"/>
              </w:rPr>
              <w:t>Wire from James Bullard</w:t>
            </w:r>
          </w:p>
        </w:tc>
        <w:tc>
          <w:tcPr>
            <w:tcW w:type="dxa" w:w="2304"/>
          </w:tcPr>
          <w:p>
            <w:r/>
            <w:r>
              <w:rPr>
                <w:sz w:val="19"/>
              </w:rPr>
              <w:t>RECEIVED - in account</w:t>
            </w:r>
          </w:p>
        </w:tc>
      </w:tr>
      <w:tr>
        <w:tc>
          <w:tcPr>
            <w:tcW w:type="dxa" w:w="1152"/>
          </w:tcPr>
          <w:p>
            <w:r/>
            <w:r>
              <w:rPr>
                <w:sz w:val="19"/>
              </w:rPr>
              <w:t>2 of 2</w:t>
            </w:r>
          </w:p>
        </w:tc>
        <w:tc>
          <w:tcPr>
            <w:tcW w:type="dxa" w:w="1728"/>
          </w:tcPr>
          <w:p>
            <w:r/>
            <w:r>
              <w:rPr>
                <w:sz w:val="19"/>
              </w:rPr>
              <w:t>By July 31, 2026</w:t>
            </w:r>
          </w:p>
        </w:tc>
        <w:tc>
          <w:tcPr>
            <w:tcW w:type="dxa" w:w="1728"/>
          </w:tcPr>
          <w:p>
            <w:r/>
            <w:r>
              <w:rPr>
                <w:sz w:val="19"/>
              </w:rPr>
              <w:t>$95,000</w:t>
            </w:r>
          </w:p>
        </w:tc>
        <w:tc>
          <w:tcPr>
            <w:tcW w:type="dxa" w:w="2880"/>
          </w:tcPr>
          <w:p>
            <w:r/>
            <w:r>
              <w:rPr>
                <w:sz w:val="19"/>
              </w:rPr>
              <w:t>Wire from James Bullard</w:t>
            </w:r>
          </w:p>
        </w:tc>
        <w:tc>
          <w:tcPr>
            <w:tcW w:type="dxa" w:w="2304"/>
          </w:tcPr>
          <w:p>
            <w:r/>
            <w:r>
              <w:rPr>
                <w:sz w:val="19"/>
              </w:rPr>
              <w:t>Committed</w:t>
            </w:r>
          </w:p>
        </w:tc>
      </w:tr>
      <w:tr>
        <w:tc>
          <w:tcPr>
            <w:tcW w:type="dxa" w:w="1152"/>
          </w:tcPr>
          <w:p>
            <w:r/>
            <w:r>
              <w:rPr>
                <w:sz w:val="19"/>
              </w:rPr>
              <w:t>Total</w:t>
            </w:r>
          </w:p>
        </w:tc>
        <w:tc>
          <w:tcPr>
            <w:tcW w:type="dxa" w:w="1728"/>
          </w:tcPr>
          <w:p>
            <w:r/>
            <w:r>
              <w:rPr>
                <w:sz w:val="19"/>
              </w:rPr>
            </w:r>
          </w:p>
        </w:tc>
        <w:tc>
          <w:tcPr>
            <w:tcW w:type="dxa" w:w="1728"/>
          </w:tcPr>
          <w:p>
            <w:r/>
            <w:r>
              <w:rPr>
                <w:sz w:val="19"/>
              </w:rPr>
              <w:t>$195,000</w:t>
            </w:r>
          </w:p>
        </w:tc>
        <w:tc>
          <w:tcPr>
            <w:tcW w:type="dxa" w:w="2880"/>
          </w:tcPr>
          <w:p>
            <w:r/>
            <w:r>
              <w:rPr>
                <w:sz w:val="19"/>
              </w:rPr>
            </w:r>
          </w:p>
        </w:tc>
        <w:tc>
          <w:tcPr>
            <w:tcW w:type="dxa" w:w="2304"/>
          </w:tcPr>
          <w:p>
            <w:r/>
            <w:r>
              <w:rPr>
                <w:sz w:val="19"/>
              </w:rPr>
            </w:r>
          </w:p>
        </w:tc>
      </w:tr>
    </w:tbl>
    <w:p>
      <w:r>
        <w:rPr>
          <w:b w:val="0"/>
          <w:i/>
          <w:sz w:val="19"/>
        </w:rPr>
        <w:t>Evidence on file: Mercury account balance and transaction record dated June 3, 2026 showing the May 7, 2026 incoming wire of $100,000 from JIM BULLARD with the $100,000 balance still held (only de-minimis Gusto payroll-test ACH activity since). Source-of-funds statements in Mr. Bullard's name covering the 30+ days prior to each wire will be retained for each tranche per SOP 50 10 8.</w:t>
      </w:r>
    </w:p>
    <w:p>
      <w:r>
        <w:rPr>
          <w:b w:val="0"/>
          <w:i/>
          <w:sz w:val="19"/>
        </w:rPr>
        <w:t>Closing timing: SBA closing and disbursement are scheduled to occur AFTER the July 2026 equity tranche lands, so the full $195,000 will be on deposit at the time of SBA loan disbursement, in compliance with SOP 50 10 8. No disbursement holdback is required, and no acceleration of tranches 2 and 3 is sought.</w:t>
      </w:r>
    </w:p>
    <w:p>
      <w:r>
        <w:rPr>
          <w:b/>
          <w:color w:val="1F3864"/>
          <w:sz w:val="23"/>
        </w:rPr>
        <w:t>2. Seller paid in full at close - no retained note</w:t>
      </w:r>
    </w:p>
    <w:p>
      <w:r>
        <w:rPr>
          <w:b w:val="0"/>
          <w:i w:val="0"/>
          <w:sz w:val="21"/>
        </w:rPr>
        <w:t>The $300,000 acquisition price is paid in full at close from SBA proceeds and the equity injection. There is no retained seller note, so the SBA loan is the only debt the business carries and Year-1 debt service is the SBA loan alone (~$93,637/yr). This produces strong coverage from Year 1 (DSCR ~3.23x) rather than the compressed coverage of a dual-debt (SBA + seller note) structure.</w:t>
      </w:r>
    </w:p>
    <w:p>
      <w:r>
        <w:rPr>
          <w:b/>
          <w:color w:val="1F3864"/>
          <w:sz w:val="23"/>
        </w:rPr>
        <w:t>3. The investor's equity qualifies without a personal guaranty</w:t>
      </w:r>
    </w:p>
    <w:p>
      <w:r>
        <w:rPr>
          <w:b w:val="0"/>
          <w:i w:val="0"/>
          <w:sz w:val="21"/>
        </w:rPr>
        <w:t>The $195,000 is contributed by James Bullard as a capital contribution in exchange for a direct, fully funded 19.5% membership interest. In a complete change of ownership, SOP 50 10 8 does not require a personal guaranty or Personal Financial Statement from an equity holder of less than 20%. Mr. Bullard's interest is held below that threshold, so his cash qualifies as equity injection while he remains a non-guarantor.</w:t>
      </w:r>
    </w:p>
    <w:p>
      <w:r>
        <w:rPr>
          <w:b w:val="0"/>
          <w:i w:val="0"/>
          <w:sz w:val="21"/>
        </w:rPr>
        <w:t>To preserve eligibility, the structure deliberately avoids the practice SBA flags as disqualifying - an investor taking less than 20% to dodge a guaranty while using a side agreement to control the business. Mr. Bullard is a passive investor: he holds no management authority, no voting control, and no side agreement, option, or convertible instrument that would give him control or push his interest to 20% or more. Control of the business rests entirely with the Managing Member, Adeline &amp; Lilah, LLC (Geoff Schackmann, 39.9%), who provides the unconditional personal guaranty as the sole 20%+ owner.</w:t>
      </w:r>
    </w:p>
    <w:p>
      <w:r>
        <w:rPr>
          <w:b/>
          <w:color w:val="1F3864"/>
          <w:sz w:val="23"/>
        </w:rPr>
        <w:t>4. Guaranty and disclosure summary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4032"/>
          </w:tcPr>
          <w:p>
            <w:r/>
            <w:r>
              <w:rPr>
                <w:b/>
                <w:sz w:val="19"/>
              </w:rPr>
              <w:t>Owner / interest holder</w:t>
            </w:r>
          </w:p>
        </w:tc>
        <w:tc>
          <w:tcPr>
            <w:tcW w:type="dxa" w:w="2304"/>
          </w:tcPr>
          <w:p>
            <w:r/>
            <w:r>
              <w:rPr>
                <w:b/>
                <w:sz w:val="19"/>
              </w:rPr>
              <w:t>Interest</w:t>
            </w:r>
          </w:p>
        </w:tc>
        <w:tc>
          <w:tcPr>
            <w:tcW w:type="dxa" w:w="1152"/>
          </w:tcPr>
          <w:p>
            <w:r/>
            <w:r>
              <w:rPr>
                <w:b/>
                <w:sz w:val="19"/>
              </w:rPr>
              <w:t>20%+?</w:t>
            </w:r>
          </w:p>
        </w:tc>
        <w:tc>
          <w:tcPr>
            <w:tcW w:type="dxa" w:w="2880"/>
          </w:tcPr>
          <w:p>
            <w:r/>
            <w:r>
              <w:rPr>
                <w:b/>
                <w:sz w:val="19"/>
              </w:rPr>
              <w:t>Personal guaranty / PFS / Form 912</w:t>
            </w:r>
          </w:p>
        </w:tc>
      </w:tr>
      <w:tr>
        <w:tc>
          <w:tcPr>
            <w:tcW w:type="dxa" w:w="4032"/>
          </w:tcPr>
          <w:p>
            <w:r/>
            <w:r>
              <w:rPr>
                <w:sz w:val="19"/>
              </w:rPr>
              <w:t>Adeline &amp; Lilah, LLC (entity holding 39.9%)</w:t>
            </w:r>
          </w:p>
        </w:tc>
        <w:tc>
          <w:tcPr>
            <w:tcW w:type="dxa" w:w="2304"/>
          </w:tcPr>
          <w:p>
            <w:r/>
            <w:r>
              <w:rPr>
                <w:sz w:val="19"/>
              </w:rPr>
              <w:t>39.9% direct</w:t>
            </w:r>
          </w:p>
        </w:tc>
        <w:tc>
          <w:tcPr>
            <w:tcW w:type="dxa" w:w="1152"/>
          </w:tcPr>
          <w:p>
            <w:r/>
            <w:r>
              <w:rPr>
                <w:sz w:val="19"/>
              </w:rPr>
              <w:t>Yes</w:t>
            </w:r>
          </w:p>
        </w:tc>
        <w:tc>
          <w:tcPr>
            <w:tcW w:type="dxa" w:w="2880"/>
          </w:tcPr>
          <w:p>
            <w:r/>
            <w:r>
              <w:rPr>
                <w:sz w:val="19"/>
              </w:rPr>
              <w:t>Entity disclosed</w:t>
            </w:r>
          </w:p>
        </w:tc>
      </w:tr>
      <w:tr>
        <w:tc>
          <w:tcPr>
            <w:tcW w:type="dxa" w:w="4032"/>
          </w:tcPr>
          <w:p>
            <w:r/>
            <w:r>
              <w:rPr>
                <w:sz w:val="19"/>
              </w:rPr>
              <w:t xml:space="preserve">  - Geoff Schackmann (50% of A&amp;L; sole Manager)</w:t>
            </w:r>
          </w:p>
        </w:tc>
        <w:tc>
          <w:tcPr>
            <w:tcW w:type="dxa" w:w="2304"/>
          </w:tcPr>
          <w:p>
            <w:r/>
            <w:r>
              <w:rPr>
                <w:sz w:val="19"/>
              </w:rPr>
              <w:t>19.95% indirect; controls A&amp;L block</w:t>
            </w:r>
          </w:p>
        </w:tc>
        <w:tc>
          <w:tcPr>
            <w:tcW w:type="dxa" w:w="1152"/>
          </w:tcPr>
          <w:p>
            <w:r/>
            <w:r>
              <w:rPr>
                <w:sz w:val="19"/>
              </w:rPr>
              <w:t>Yes (by control)</w:t>
            </w:r>
          </w:p>
        </w:tc>
        <w:tc>
          <w:tcPr>
            <w:tcW w:type="dxa" w:w="2880"/>
          </w:tcPr>
          <w:p>
            <w:r/>
            <w:r>
              <w:rPr>
                <w:sz w:val="19"/>
              </w:rPr>
              <w:t>Required - provided as the sole 20%+ controlling owner</w:t>
            </w:r>
          </w:p>
        </w:tc>
      </w:tr>
      <w:tr>
        <w:tc>
          <w:tcPr>
            <w:tcW w:type="dxa" w:w="4032"/>
          </w:tcPr>
          <w:p>
            <w:r/>
            <w:r>
              <w:rPr>
                <w:sz w:val="19"/>
              </w:rPr>
              <w:t xml:space="preserve">  - Mary Elizabeth Burcham (50% of A&amp;L; passive)</w:t>
            </w:r>
          </w:p>
        </w:tc>
        <w:tc>
          <w:tcPr>
            <w:tcW w:type="dxa" w:w="2304"/>
          </w:tcPr>
          <w:p>
            <w:r/>
            <w:r>
              <w:rPr>
                <w:sz w:val="19"/>
              </w:rPr>
              <w:t>19.95% indirect</w:t>
            </w:r>
          </w:p>
        </w:tc>
        <w:tc>
          <w:tcPr>
            <w:tcW w:type="dxa" w:w="1152"/>
          </w:tcPr>
          <w:p>
            <w:r/>
            <w:r>
              <w:rPr>
                <w:sz w:val="19"/>
              </w:rPr>
              <w:t>No (under 20%; no control)</w:t>
            </w:r>
          </w:p>
        </w:tc>
        <w:tc>
          <w:tcPr>
            <w:tcW w:type="dxa" w:w="2880"/>
          </w:tcPr>
          <w:p>
            <w:r/>
            <w:r>
              <w:rPr>
                <w:sz w:val="19"/>
              </w:rPr>
              <w:t>Not required; signs spouse acknowledgement/consent at close</w:t>
            </w:r>
          </w:p>
        </w:tc>
      </w:tr>
      <w:tr>
        <w:tc>
          <w:tcPr>
            <w:tcW w:type="dxa" w:w="4032"/>
          </w:tcPr>
          <w:p>
            <w:r/>
            <w:r>
              <w:rPr>
                <w:sz w:val="19"/>
              </w:rPr>
              <w:t>James Bullard (passive investor, direct)</w:t>
            </w:r>
          </w:p>
        </w:tc>
        <w:tc>
          <w:tcPr>
            <w:tcW w:type="dxa" w:w="2304"/>
          </w:tcPr>
          <w:p>
            <w:r/>
            <w:r>
              <w:rPr>
                <w:sz w:val="19"/>
              </w:rPr>
              <w:t>19.5%</w:t>
            </w:r>
          </w:p>
        </w:tc>
        <w:tc>
          <w:tcPr>
            <w:tcW w:type="dxa" w:w="1152"/>
          </w:tcPr>
          <w:p>
            <w:r/>
            <w:r>
              <w:rPr>
                <w:sz w:val="19"/>
              </w:rPr>
              <w:t>No</w:t>
            </w:r>
          </w:p>
        </w:tc>
        <w:tc>
          <w:tcPr>
            <w:tcW w:type="dxa" w:w="2880"/>
          </w:tcPr>
          <w:p>
            <w:r/>
            <w:r>
              <w:rPr>
                <w:sz w:val="19"/>
              </w:rPr>
              <w:t>Not required (source-of-funds verification only)</w:t>
            </w:r>
          </w:p>
        </w:tc>
      </w:tr>
      <w:tr>
        <w:tc>
          <w:tcPr>
            <w:tcW w:type="dxa" w:w="4032"/>
          </w:tcPr>
          <w:p>
            <w:r/>
            <w:r>
              <w:rPr>
                <w:sz w:val="19"/>
              </w:rPr>
              <w:t>Silas R. Shelton</w:t>
            </w:r>
          </w:p>
        </w:tc>
        <w:tc>
          <w:tcPr>
            <w:tcW w:type="dxa" w:w="2304"/>
          </w:tcPr>
          <w:p>
            <w:r/>
            <w:r>
              <w:rPr>
                <w:sz w:val="19"/>
              </w:rPr>
              <w:t>13.3% (fully forfeitable; 4-yr vest, 1-yr cliff)</w:t>
            </w:r>
          </w:p>
        </w:tc>
        <w:tc>
          <w:tcPr>
            <w:tcW w:type="dxa" w:w="1152"/>
          </w:tcPr>
          <w:p>
            <w:r/>
            <w:r>
              <w:rPr>
                <w:sz w:val="19"/>
              </w:rPr>
              <w:t>No</w:t>
            </w:r>
          </w:p>
        </w:tc>
        <w:tc>
          <w:tcPr>
            <w:tcW w:type="dxa" w:w="2880"/>
          </w:tcPr>
          <w:p>
            <w:r/>
            <w:r>
              <w:rPr>
                <w:sz w:val="19"/>
              </w:rPr>
              <w:t>Not required</w:t>
            </w:r>
          </w:p>
        </w:tc>
      </w:tr>
      <w:tr>
        <w:tc>
          <w:tcPr>
            <w:tcW w:type="dxa" w:w="4032"/>
          </w:tcPr>
          <w:p>
            <w:r/>
            <w:r>
              <w:rPr>
                <w:sz w:val="19"/>
              </w:rPr>
              <w:t>Dana L. Davenport</w:t>
            </w:r>
          </w:p>
        </w:tc>
        <w:tc>
          <w:tcPr>
            <w:tcW w:type="dxa" w:w="2304"/>
          </w:tcPr>
          <w:p>
            <w:r/>
            <w:r>
              <w:rPr>
                <w:sz w:val="19"/>
              </w:rPr>
              <w:t>13.3% (fully forfeitable; 4-yr vest, 1-yr cliff)</w:t>
            </w:r>
          </w:p>
        </w:tc>
        <w:tc>
          <w:tcPr>
            <w:tcW w:type="dxa" w:w="1152"/>
          </w:tcPr>
          <w:p>
            <w:r/>
            <w:r>
              <w:rPr>
                <w:sz w:val="19"/>
              </w:rPr>
              <w:t>No</w:t>
            </w:r>
          </w:p>
        </w:tc>
        <w:tc>
          <w:tcPr>
            <w:tcW w:type="dxa" w:w="2880"/>
          </w:tcPr>
          <w:p>
            <w:r/>
            <w:r>
              <w:rPr>
                <w:sz w:val="19"/>
              </w:rPr>
              <w:t>Not required</w:t>
            </w:r>
          </w:p>
        </w:tc>
      </w:tr>
      <w:tr>
        <w:tc>
          <w:tcPr>
            <w:tcW w:type="dxa" w:w="4032"/>
          </w:tcPr>
          <w:p>
            <w:r/>
            <w:r>
              <w:rPr>
                <w:sz w:val="19"/>
              </w:rPr>
              <w:t>Bradley G. Woodard</w:t>
            </w:r>
          </w:p>
        </w:tc>
        <w:tc>
          <w:tcPr>
            <w:tcW w:type="dxa" w:w="2304"/>
          </w:tcPr>
          <w:p>
            <w:r/>
            <w:r>
              <w:rPr>
                <w:sz w:val="19"/>
              </w:rPr>
              <w:t>13.3% (fully forfeitable; 4-yr vest, 1-yr cliff)</w:t>
            </w:r>
          </w:p>
        </w:tc>
        <w:tc>
          <w:tcPr>
            <w:tcW w:type="dxa" w:w="1152"/>
          </w:tcPr>
          <w:p>
            <w:r/>
            <w:r>
              <w:rPr>
                <w:sz w:val="19"/>
              </w:rPr>
              <w:t>No</w:t>
            </w:r>
          </w:p>
        </w:tc>
        <w:tc>
          <w:tcPr>
            <w:tcW w:type="dxa" w:w="2880"/>
          </w:tcPr>
          <w:p>
            <w:r/>
            <w:r>
              <w:rPr>
                <w:sz w:val="19"/>
              </w:rPr>
              <w:t>Not required</w:t>
            </w:r>
          </w:p>
        </w:tc>
      </w:tr>
    </w:tbl>
    <w:p>
      <w:r>
        <w:rPr>
          <w:b w:val="0"/>
          <w:i/>
          <w:sz w:val="18"/>
        </w:rPr>
        <w:t>All equity owners are disclosed regardless of percentage, and all are U.S. citizens or lawful permanent residents (to be verified by the lender per SOP 50 10 8). The controlling owner (Geoff Schackmann, via Adeline &amp; Lilah, LLC) provides the personal guaranty. His spouse, Mary Elizabeth Burcham, signs a spouse acknowledgement/consent rather than a co-guaranty, as her independent indirect interest is under 20% and she holds no management role.</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