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$555,000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$555K SBA + $195K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7.08x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26.0% of project - 2.6x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$555,000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$195,000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$555K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3.23x</w:t>
            </w:r>
          </w:p>
        </w:tc>
        <w:tc>
          <w:tcPr>
            <w:tcW w:type="dxa" w:w="2160"/>
          </w:tcPr>
          <w:p>
            <w:r/>
            <w:r>
              <w:rPr>
                <w:sz w:val="19"/>
              </w:rPr>
              <w:t>7.26x</w:t>
            </w:r>
          </w:p>
        </w:tc>
        <w:tc>
          <w:tcPr>
            <w:tcW w:type="dxa" w:w="2160"/>
          </w:tcPr>
          <w:p>
            <w:r/>
            <w:r>
              <w:rPr>
                <w:sz w:val="19"/>
              </w:rPr>
              <w:t>10.76x</w:t>
            </w:r>
          </w:p>
        </w:tc>
      </w:tr>
    </w:tbl>
    <w:p>
      <w:r>
        <w:rPr>
          <w:b w:val="0"/>
          <w:i w:val="0"/>
          <w:sz w:val="21"/>
        </w:rPr>
        <w:t>The operation is EBITDA-positive from early in the ramp. Because the seller is paid in full at close, the SBA loan is the only debt: against SBA debt service of $93,637/yr, the model clears a global 3-year DSCR of 7.08x - far above the 1.25x floor - and strengthens each year (3.23x -&gt; 7.26x -&gt; 10.76x).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(fully forfeitable; 4.9% time-vested base + 8.4% dual-trigger earn-up)</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(fully forfeitable; 4.9% time-vested base + 8.4% dual-trigger earn-up)</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(fully forfeitable; 4.9% time-vested base + 8.4% dual-trigger earn-up)</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$555,000 SBA 7(a) loan and a $195,000 cash equity injection contributed by investor James E. Bullard in exchange for a direct 19.5% membership interest. The $300,000 acquisition price is paid in full at close from these sources - there is no retained seller note, so the SBA loan is the only debt the business carries. The injection equals 26.0% of total project cost - 2.6 times the 10% minimum required under SBA SOP 50 10 8, though below the ~30% down some startup lenders prefer.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sz w:val="19"/>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3.23x -&gt; 10.76x across the plan; substantial $195K cash equity injection (26%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The entire 13.3% is at risk and forfeitable until vested. It comprises a 4.9% Initial Base that time-vests on continuous service (four-year schedule, one-year cliff)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no portion is vested at inception and each operator may earn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$555,000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$195,000 injection is 26.0%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$555,000 - 11.5% APR - 120 mo - $7,803.05/mo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$195,000 cash (26.0%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$62,202</w:t>
            </w:r>
          </w:p>
        </w:tc>
        <w:tc>
          <w:tcPr>
            <w:tcW w:type="dxa" w:w="2016"/>
          </w:tcPr>
          <w:p>
            <w:r/>
            <w:r>
              <w:rPr>
                <w:sz w:val="19"/>
              </w:rPr>
              <w:t>$58,741</w:t>
            </w:r>
          </w:p>
        </w:tc>
        <w:tc>
          <w:tcPr>
            <w:tcW w:type="dxa" w:w="2016"/>
          </w:tcPr>
          <w:p>
            <w:r/>
            <w:r>
              <w:rPr>
                <w:sz w:val="19"/>
              </w:rPr>
              <w:t>$54,551</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($7,803.05/month) - there is no seller note. Month 1 is the transition month (partial census at 12 ADC) and is absorbed by the $372K opening cash reserve; coverage clears the 1.25x floor with wide margin as census stabilizes around the validated ~22 ADC. On an annual basis Year 1 covers at 3.23x.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$93,637</w:t>
            </w:r>
          </w:p>
        </w:tc>
        <w:tc>
          <w:tcPr>
            <w:tcW w:type="dxa" w:w="2016"/>
          </w:tcPr>
          <w:p>
            <w:r/>
            <w:r>
              <w:rPr>
                <w:sz w:val="19"/>
              </w:rPr>
              <w:t>$93,637</w:t>
            </w:r>
          </w:p>
        </w:tc>
        <w:tc>
          <w:tcPr>
            <w:tcW w:type="dxa" w:w="2016"/>
          </w:tcPr>
          <w:p>
            <w:r/>
            <w:r>
              <w:rPr>
                <w:sz w:val="19"/>
              </w:rPr>
              <w:t>$93,637</w:t>
            </w:r>
          </w:p>
        </w:tc>
      </w:tr>
      <w:tr>
        <w:tc>
          <w:tcPr>
            <w:tcW w:type="dxa" w:w="3744"/>
          </w:tcPr>
          <w:p>
            <w:r/>
            <w:r>
              <w:rPr>
                <w:sz w:val="19"/>
              </w:rPr>
              <w:t>DSCR (SBA-only)</w:t>
            </w:r>
          </w:p>
        </w:tc>
        <w:tc>
          <w:tcPr>
            <w:tcW w:type="dxa" w:w="2016"/>
          </w:tcPr>
          <w:p>
            <w:r/>
            <w:r>
              <w:rPr>
                <w:sz w:val="19"/>
              </w:rPr>
              <w:t>3.23x</w:t>
            </w:r>
          </w:p>
        </w:tc>
        <w:tc>
          <w:tcPr>
            <w:tcW w:type="dxa" w:w="2016"/>
          </w:tcPr>
          <w:p>
            <w:r/>
            <w:r>
              <w:rPr>
                <w:sz w:val="19"/>
              </w:rPr>
              <w:t>7.26x</w:t>
            </w:r>
          </w:p>
        </w:tc>
        <w:tc>
          <w:tcPr>
            <w:tcW w:type="dxa" w:w="2016"/>
          </w:tcPr>
          <w:p>
            <w:r/>
            <w:r>
              <w:rPr>
                <w:sz w:val="19"/>
              </w:rPr>
              <w:t>10.76x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7.08x (vs. 1.25x floor). Because the seller is paid in full at close, the SBA loan ($7,803.05/mo, $93,637/yr)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7.26x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1.99x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5.35x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0.09x</w:t>
            </w:r>
          </w:p>
        </w:tc>
        <w:tc>
          <w:tcPr>
            <w:tcW w:type="dxa" w:w="1296"/>
          </w:tcPr>
          <w:p>
            <w:r/>
            <w:r>
              <w:rPr>
                <w:sz w:val="19"/>
              </w:rPr>
              <w:t>No</w:t>
            </w:r>
          </w:p>
        </w:tc>
      </w:tr>
    </w:tbl>
    <w:p>
      <w:r>
        <w:rPr>
          <w:b w:val="0"/>
          <w:i w:val="0"/>
          <w:sz w:val="21"/>
        </w:rPr>
        <w:t>Reading the stress tests. Because the seller is paid at close, debt service is the SBA loan alone ($93,637), and Year-2 coverage absorbs a great deal: the base case covers at 7.26x, a sustained 20% census drop still clears at 1.99x, and a 10% fixed-cost spike clears at 5.35x. Only the extreme cases fail - a 35% census collapse turns EBITDA negative, and a severe combined shock (-20% census AND +10% costs, full roster held constant) is essentially uncovered (0.09x).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3.23x -&gt; 10.76x (global 7.08x)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5.35x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26%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(3.23x -&gt; 7.26x -&gt; 10.76x; global 7.08x), because the seller is paid at close and the SBA loan is the only debt; and (3) a well-capitalized structure - $195K cash equity (26%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