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Memo: Business Plan vs. Operating Model - Financial Reconciliation</w:t>
      </w:r>
    </w:p>
    <w:p>
      <w:r>
        <w:rPr>
          <w:b w:val="0"/>
          <w:i w:val="0"/>
          <w:color w:val="606060"/>
          <w:sz w:val="18"/>
        </w:rPr>
        <w:t>Internal note - resolve before submitting to lender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Issue: Business Plan Rev 4.00 (June 2, 2026) was generated from an earlier version of the operating model. Net revenue and census match the current model, but the cost base - and therefore EBITDA, net income, and DSCR - differ, because the current model carries a fuller, more defensible direct-care staffing build (PRN social work / LVN / chaplain converted to full-time, six RNs and six CNAs by Year 3, plus Quality/Compliance, Intake, and Volunteer Coordinator) and outsourced billing at 1.5% of revenue. The plan and the workbook must show the same figures before they go to the lender.</w:t>
      </w:r>
    </w:p>
    <w:p>
      <w:r>
        <w:rPr>
          <w:b/>
          <w:color w:val="1F3864"/>
          <w:sz w:val="23"/>
        </w:rPr>
        <w:t>Side-by-side (annual)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Plan Rev 4.00</w:t>
            </w:r>
          </w:p>
        </w:tc>
        <w:tc>
          <w:tcPr>
            <w:tcW w:type="dxa" w:w="2448"/>
          </w:tcPr>
          <w:p>
            <w:r/>
            <w:r>
              <w:rPr>
                <w:b/>
                <w:sz w:val="19"/>
              </w:rPr>
              <w:t>Current model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9"/>
              </w:rPr>
              <w:t>Note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Net revenue Y1 / Y2 / Y3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$1.44M / $2.72M / $3.73M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$1.44M / $2.73M / $3.73M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Match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EBITDA Y1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$311,204 (21.6%)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$302,522 (21.0%)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EBITDA Y2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$814,391 (29.9%)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$679,524 (24.9%)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Lower - richer staffing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EBITDA Y3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$1,185,619 (31.8%)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$1,007,520 (27.0%)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Lower - richer staffing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Net income Y1 / Y2 / Y3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$199K / $706K / $1,084K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$199K / $575K / $903K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Y1 in line; Y2-Y3 lower on richer staffing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DSCR Y1 / Y2 / Y3 (SBA-only debt)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1.61x / 4.20x / 6.12x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3.23x / 7.26x / 10.76x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Stronger - seller paid at close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9"/>
              </w:rPr>
              <w:t>Global 3-yr DSCR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3.97x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7.08x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Both well above 1.25x</w:t>
            </w:r>
          </w:p>
        </w:tc>
      </w:tr>
    </w:tbl>
    <w:p>
      <w:r>
        <w:rPr>
          <w:b w:val="0"/>
          <w:i/>
          <w:sz w:val="19"/>
        </w:rPr>
        <w:t>Structure note: the deal is now a startup CHOW in which the $300,000 seller price is paid in full at close from SBA proceeds and the equity injection - no retained seller note. Debt service is the SBA loan alone (~$93,637/yr), which lifts DSCR materially above the earlier dual-debt assumption.</w:t>
      </w:r>
    </w:p>
    <w:p>
      <w:r>
        <w:rPr>
          <w:b/>
          <w:color w:val="1F3864"/>
          <w:sz w:val="23"/>
        </w:rPr>
        <w:t>Recommendation</w:t>
      </w:r>
    </w:p>
    <w:p>
      <w:r>
        <w:rPr>
          <w:b w:val="0"/>
          <w:i w:val="0"/>
          <w:sz w:val="21"/>
        </w:rPr>
        <w:t>Use the current operating model with the seller-paid-at-close structure. Every year is profitable, EBITDA grows from $303K to $1.0M, and DSCR clears 1.25x in every year by a wide margin (3.23x / 7.26x / 10.76x; global 7.08x) because there is no seller note competing with the SBA loan for cash flow. The staffing build is the fuller, more defensible roster for a 50+ ADC agency.</w:t>
      </w:r>
    </w:p>
    <w:p>
      <w:r>
        <w:rPr>
          <w:b/>
          <w:color w:val="1F3864"/>
          <w:sz w:val="23"/>
        </w:rPr>
        <w:t>Corrected three-year P&amp;L (drop-in for Section 11.4)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Line item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 1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 2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Average daily census (ADC)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21.8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40.2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53.8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Net patient revenue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$1,442,930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$2,728,642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$3,734,934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Patient-related COGS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$71,549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$132,002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$176,276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Payroll &amp; related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$868,172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$1,686,864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$2,297,748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Operating G&amp;A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$200,687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$230,251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$253,390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EBITDA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$302,522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$679,524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$1,007,520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EBITDA margin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21.0%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24.9%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27.0%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Depreciation &amp; amortization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$35,600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$35,600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$35,600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Interest (SBA loan only)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$62,202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$58,741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$54,551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TX franchise tax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$5,411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$10,232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$14,006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Net income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$199,308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$574,951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$903,362</w:t>
            </w:r>
          </w:p>
        </w:tc>
      </w:tr>
    </w:tbl>
    <w:p>
      <w:r>
        <w:rPr>
          <w:b/>
          <w:color w:val="1F3864"/>
          <w:sz w:val="23"/>
        </w:rPr>
        <w:t>Corrected lender summary (drop-in for Section 11.6)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744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 1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 2</w:t>
            </w:r>
          </w:p>
        </w:tc>
        <w:tc>
          <w:tcPr>
            <w:tcW w:type="dxa" w:w="2016"/>
          </w:tcPr>
          <w:p>
            <w:r/>
            <w:r>
              <w:rPr>
                <w:b/>
                <w:sz w:val="19"/>
              </w:rPr>
              <w:t>Year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EBITDA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$302,522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$679,524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$1,007,520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SBA debt service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$93,637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$93,637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$93,637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DSCR (SBA-only)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3.23x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7.26x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10.76x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Net income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$199,308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$574,951</w:t>
            </w:r>
          </w:p>
        </w:tc>
        <w:tc>
          <w:tcPr>
            <w:tcW w:type="dxa" w:w="2016"/>
          </w:tcPr>
          <w:p>
            <w:r/>
            <w:r>
              <w:rPr>
                <w:sz w:val="19"/>
              </w:rPr>
              <w:t>$903,362</w:t>
            </w:r>
          </w:p>
        </w:tc>
      </w:tr>
    </w:tbl>
    <w:p>
      <w:r>
        <w:rPr>
          <w:b/>
          <w:i w:val="0"/>
          <w:sz w:val="21"/>
        </w:rPr>
        <w:t>Global 3-year DSCR: 7.08x (vs. 1.25x floor). With the seller paid at close, the SBA loan is the only debt and coverage is strong from Year 1.</w:t>
      </w:r>
    </w:p>
    <w:p>
      <w:r>
        <w:rPr>
          <w:b/>
          <w:color w:val="1F3864"/>
          <w:sz w:val="23"/>
        </w:rPr>
        <w:t>Break-even (answers Business Plan Guide VIII.3 - currently missing)</w:t>
      </w:r>
    </w:p>
    <w:p>
      <w:r>
        <w:rPr>
          <w:b w:val="0"/>
          <w:i w:val="0"/>
          <w:sz w:val="21"/>
        </w:rPr>
        <w:t>Contribution margin is $160.52 per patient-day (net rate $181.30 less $20.78 of variable cost per patient-day: supplies/DME/pharmacy plus PRN visit labor plus the 1.5% billing and 0.75% QR fees). Against the Year-1 fixed-cost base (the lean opening roster plus fixed G&amp;A), the operation breaks even at approximately 16 ADC, or about $86,000 per month of net revenue. The validated opening census of ~22 ADC is already above break-even, and Year-1 covers SBA debt service at 3.23x.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