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Subscription and Capital Contribution Agreement</w:t>
      </w:r>
    </w:p>
    <w:p>
      <w:r>
        <w:rPr>
          <w:b w:val="0"/>
          <w:i w:val="0"/>
          <w:color w:val="606060"/>
          <w:sz w:val="18"/>
        </w:rPr>
        <w:t>TYLER HOSPICE HOLDCO L.L.C. - A Wyoming Limited Liability Company</w:t>
      </w:r>
    </w:p>
    <w:p>
      <w:r>
        <w:rPr>
          <w:b w:val="0"/>
          <w:i/>
          <w:color w:val="606060"/>
          <w:sz w:val="18"/>
        </w:rPr>
        <w:t>DRAFT for review and execution. The parties are not represented by counsel as to this Agreement; independent review is recommended before signing.</w:t>
      </w:r>
    </w:p>
    <w:p>
      <w:r>
        <w:rPr>
          <w:b w:val="0"/>
          <w:i w:val="0"/>
          <w:sz w:val="21"/>
        </w:rPr>
      </w:r>
    </w:p>
    <w:p>
      <w:r>
        <w:rPr>
          <w:b w:val="0"/>
          <w:i w:val="0"/>
          <w:sz w:val="21"/>
        </w:rPr>
        <w:t>This Subscription and Capital Contribution Agreement (this "Agreement") is entered into as of _______________, 2026 (the "Effective Date"), by and between Tyler Hospice HoldCo L.L.C., a Wyoming limited liability company (the "Company"), and James E. Bullard, an individual residing at 13910 Indiana Ave, Suite 300, Lubbock, TX 79423 (the "Investor"). This Agreement is the "Subscription Agreement" referenced in Section 11.5 of the Company's Operating Agreement, as amended by Amendment No. 1 (together, the "Operating Agreement").</w:t>
      </w:r>
    </w:p>
    <w:p>
      <w:r>
        <w:rPr>
          <w:b/>
          <w:color w:val="1F3864"/>
          <w:sz w:val="23"/>
        </w:rPr>
        <w:t>1. Subscription</w:t>
      </w:r>
    </w:p>
    <w:p>
      <w:r>
        <w:rPr>
          <w:b w:val="0"/>
          <w:i w:val="0"/>
          <w:sz w:val="21"/>
        </w:rPr>
        <w:t>The Investor hereby irrevocably subscribes for and agrees to purchase a nineteen and nine-tenths percent (19.5%) membership interest in the Company (the "Interest") for an aggregate purchase price of One Hundred Ninety-Five Thousand Dollars ($195,000.00) (the "Purchase Price"), and the Company agrees to issue the Interest to the Investor upon the terms and conditions set forth herein and in the Operating Agreement. The Interest is fully earned upon payment and is not subject to any vesting, forfeiture, or repurchase condition.</w:t>
      </w:r>
    </w:p>
    <w:p>
      <w:r>
        <w:rPr>
          <w:b/>
          <w:color w:val="1F3864"/>
          <w:sz w:val="23"/>
        </w:rPr>
        <w:t>2. Payment of the Purchase Price (tranches)</w:t>
      </w:r>
    </w:p>
    <w:p>
      <w:r>
        <w:rPr>
          <w:b w:val="0"/>
          <w:i w:val="0"/>
          <w:sz w:val="21"/>
        </w:rPr>
        <w:t>The Investor shall pay the Purchase Price by wire transfer of immediately available funds to the Company's operating account in two tranches: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584"/>
          </w:tcPr>
          <w:p>
            <w:r/>
            <w:r>
              <w:rPr>
                <w:b/>
                <w:sz w:val="19"/>
              </w:rPr>
              <w:t>Tranche</w:t>
            </w:r>
          </w:p>
        </w:tc>
        <w:tc>
          <w:tcPr>
            <w:tcW w:type="dxa" w:w="1584"/>
          </w:tcPr>
          <w:p>
            <w:r/>
            <w:r>
              <w:rPr>
                <w:b/>
                <w:sz w:val="19"/>
              </w:rPr>
              <w:t>Amount</w:t>
            </w:r>
          </w:p>
        </w:tc>
        <w:tc>
          <w:tcPr>
            <w:tcW w:type="dxa" w:w="3312"/>
          </w:tcPr>
          <w:p>
            <w:r/>
            <w:r>
              <w:rPr>
                <w:b/>
                <w:sz w:val="19"/>
              </w:rPr>
              <w:t>Timing</w:t>
            </w:r>
          </w:p>
        </w:tc>
        <w:tc>
          <w:tcPr>
            <w:tcW w:type="dxa" w:w="2880"/>
          </w:tcPr>
          <w:p>
            <w:r/>
            <w:r>
              <w:rPr>
                <w:b/>
                <w:sz w:val="19"/>
              </w:rPr>
              <w:t>Status</w:t>
            </w:r>
          </w:p>
        </w:tc>
      </w:tr>
      <w:tr>
        <w:tc>
          <w:tcPr>
            <w:tcW w:type="dxa" w:w="1584"/>
          </w:tcPr>
          <w:p>
            <w:r/>
            <w:r>
              <w:rPr>
                <w:sz w:val="19"/>
              </w:rPr>
              <w:t>Tranche 1</w:t>
            </w:r>
          </w:p>
        </w:tc>
        <w:tc>
          <w:tcPr>
            <w:tcW w:type="dxa" w:w="1584"/>
          </w:tcPr>
          <w:p>
            <w:r/>
            <w:r>
              <w:rPr>
                <w:sz w:val="19"/>
              </w:rPr>
              <w:t>$100,000</w:t>
            </w:r>
          </w:p>
        </w:tc>
        <w:tc>
          <w:tcPr>
            <w:tcW w:type="dxa" w:w="3312"/>
          </w:tcPr>
          <w:p>
            <w:r/>
            <w:r>
              <w:rPr>
                <w:sz w:val="19"/>
              </w:rPr>
              <w:t>Paid May 7, 2026</w:t>
            </w:r>
          </w:p>
        </w:tc>
        <w:tc>
          <w:tcPr>
            <w:tcW w:type="dxa" w:w="2880"/>
          </w:tcPr>
          <w:p>
            <w:r/>
            <w:r>
              <w:rPr>
                <w:sz w:val="19"/>
              </w:rPr>
              <w:t>RECEIVED - on deposit</w:t>
            </w:r>
          </w:p>
        </w:tc>
      </w:tr>
      <w:tr>
        <w:tc>
          <w:tcPr>
            <w:tcW w:type="dxa" w:w="1584"/>
          </w:tcPr>
          <w:p>
            <w:r/>
            <w:r>
              <w:rPr>
                <w:sz w:val="19"/>
              </w:rPr>
              <w:t>Tranche 2</w:t>
            </w:r>
          </w:p>
        </w:tc>
        <w:tc>
          <w:tcPr>
            <w:tcW w:type="dxa" w:w="1584"/>
          </w:tcPr>
          <w:p>
            <w:r/>
            <w:r>
              <w:rPr>
                <w:sz w:val="19"/>
              </w:rPr>
              <w:t>$95,000</w:t>
            </w:r>
          </w:p>
        </w:tc>
        <w:tc>
          <w:tcPr>
            <w:tcW w:type="dxa" w:w="3312"/>
          </w:tcPr>
          <w:p>
            <w:r/>
            <w:r>
              <w:rPr>
                <w:sz w:val="19"/>
              </w:rPr>
              <w:t>On or before July 31, 2026</w:t>
            </w:r>
          </w:p>
        </w:tc>
        <w:tc>
          <w:tcPr>
            <w:tcW w:type="dxa" w:w="2880"/>
          </w:tcPr>
          <w:p>
            <w:r/>
            <w:r>
              <w:rPr>
                <w:sz w:val="19"/>
              </w:rPr>
              <w:t>Committed</w:t>
            </w:r>
          </w:p>
        </w:tc>
      </w:tr>
      <w:tr>
        <w:tc>
          <w:tcPr>
            <w:tcW w:type="dxa" w:w="1584"/>
          </w:tcPr>
          <w:p>
            <w:r/>
            <w:r>
              <w:rPr>
                <w:sz w:val="19"/>
              </w:rPr>
              <w:t>Total</w:t>
            </w:r>
          </w:p>
        </w:tc>
        <w:tc>
          <w:tcPr>
            <w:tcW w:type="dxa" w:w="1584"/>
          </w:tcPr>
          <w:p>
            <w:r/>
            <w:r>
              <w:rPr>
                <w:sz w:val="19"/>
              </w:rPr>
              <w:t>$195,000</w:t>
            </w:r>
          </w:p>
        </w:tc>
        <w:tc>
          <w:tcPr>
            <w:tcW w:type="dxa" w:w="3312"/>
          </w:tcPr>
          <w:p>
            <w:r/>
            <w:r>
              <w:rPr>
                <w:sz w:val="19"/>
              </w:rPr>
            </w:r>
          </w:p>
        </w:tc>
        <w:tc>
          <w:tcPr>
            <w:tcW w:type="dxa" w:w="2880"/>
          </w:tcPr>
          <w:p>
            <w:r/>
            <w:r>
              <w:rPr>
                <w:sz w:val="19"/>
              </w:rPr>
            </w:r>
          </w:p>
        </w:tc>
      </w:tr>
    </w:tbl>
    <w:p>
      <w:r>
        <w:rPr>
          <w:b w:val="0"/>
          <w:i w:val="0"/>
          <w:sz w:val="21"/>
        </w:rPr>
        <w:t>The parties acknowledge that the $100,000 Tranche 1 wire was received in the Company's Mercury (Column N.A.) operating account ending 1275 on May 7, 2026. The Investor's full 19.5% Interest is recorded and effective as of the Effective Date; provided that if the Investor fails to fund any tranche when due and fails to cure within ten (10) business days of written notice, the Company's sole remedy shall be to reduce the Investor's Percentage Interest proportionally to the amount actually funded (funded amount / $195,000 x 19.5%), with the unfunded balance reverting to Adeline &amp; Lilah, LLC, and the Investor shall have no further obligation as to the unfunded portion. The tranche amounts of $75,000 for Tranches 2 and 3 may be adjusted by mutual written agreement so long as the full $195,000 is funded on or before July 31, 2026.</w:t>
      </w:r>
    </w:p>
    <w:p>
      <w:r>
        <w:rPr>
          <w:b/>
          <w:color w:val="1F3864"/>
          <w:sz w:val="23"/>
        </w:rPr>
        <w:t>3. Source of funds</w:t>
      </w:r>
    </w:p>
    <w:p>
      <w:r>
        <w:rPr>
          <w:b w:val="0"/>
          <w:i w:val="0"/>
          <w:sz w:val="21"/>
        </w:rPr>
        <w:t>The Investor represents that the entire Purchase Price is and will be funded from the Investor's own personal savings and is not borrowed, advanced, or financed by any third party, and is not secured directly or indirectly by any assets of the Company or the business being acquired. The Investor agrees to provide the Company and its SBA lender with bank or brokerage statements evidencing the availability and source of the funds for each tranche, covering at least the thirty (30) days prior to each wire, as required by SBA SOP 50 10 8.</w:t>
      </w:r>
    </w:p>
    <w:p>
      <w:r>
        <w:rPr>
          <w:b/>
          <w:color w:val="1F3864"/>
          <w:sz w:val="23"/>
        </w:rPr>
        <w:t>4. Use of proceeds</w:t>
      </w:r>
    </w:p>
    <w:p>
      <w:r>
        <w:rPr>
          <w:b w:val="0"/>
          <w:i w:val="0"/>
          <w:sz w:val="21"/>
        </w:rPr>
        <w:t>The Company shall use the Purchase Price as the borrower equity injection for its SBA 7(a) financing and the change-of-ownership acquisition of Hickory Hospice LLC, and for working capital of the hospice business, consistent with Section 3.14 of the Operating Agreement.</w:t>
      </w:r>
    </w:p>
    <w:p>
      <w:r>
        <w:rPr>
          <w:b/>
          <w:color w:val="1F3864"/>
          <w:sz w:val="23"/>
        </w:rPr>
        <w:t>5. Adoption of the Operating Agreement</w:t>
      </w:r>
    </w:p>
    <w:p>
      <w:r>
        <w:rPr>
          <w:b w:val="0"/>
          <w:i w:val="0"/>
          <w:sz w:val="21"/>
        </w:rPr>
        <w:t>By executing this Agreement, the Investor (a) adopts, joins, and agrees to be bound by all terms of the Operating Agreement as a Member; (b) confirms that the rights associated with the Interest are solely those set forth in the Operating Agreement as amended (including the protective minority rights and the SBA-related limitations described in Amendment No. 1); and (c) acknowledges that the Interest does not confer any day-to-day management or operational control of the Company.</w:t>
      </w:r>
    </w:p>
    <w:p>
      <w:r>
        <w:rPr>
          <w:b/>
          <w:color w:val="1F3864"/>
          <w:sz w:val="23"/>
        </w:rPr>
        <w:t>6. Investor representations and warranties</w:t>
      </w:r>
    </w:p>
    <w:p>
      <w:r>
        <w:rPr>
          <w:b w:val="0"/>
          <w:i w:val="0"/>
          <w:sz w:val="21"/>
        </w:rPr>
        <w:t>The Investor represents and warrants to the Company that: (a) the Investor is an "accredited investor" as defined in Rule 501(a) of Regulation D under the Securities Act of 1933, as amended; (b) the Investor is acquiring the Interest for the Investor's own account for investment and not with a view to resale or distribution; (c) the Investor has such knowledge and experience in financial and business matters as to be capable of evaluating the merits and risks of the investment and can bear the economic risk of a total loss; (d) the Investor understands the Interest is not registered under federal or state securities laws and is a "restricted security"; (e) the Investor is a United States citizen or lawful permanent resident; (f) neither the Investor nor any entity the Investor controls is excluded, suspended, or debarred from any federal or state healthcare program (OIG LEIE / SAM.gov); and (g) the Investor has had the opportunity to ask questions of and receive answers from the Manager.</w:t>
      </w:r>
    </w:p>
    <w:p>
      <w:r>
        <w:rPr>
          <w:b/>
          <w:color w:val="1F3864"/>
          <w:sz w:val="23"/>
        </w:rPr>
        <w:t>7. Company representations</w:t>
      </w:r>
    </w:p>
    <w:p>
      <w:r>
        <w:rPr>
          <w:b w:val="0"/>
          <w:i w:val="0"/>
          <w:sz w:val="21"/>
        </w:rPr>
        <w:t>The Company represents that, upon receipt of each tranche, the Interest will be duly issued, and that the Company shall record the Investor as a Member on its books and update Exhibit A to the Operating Agreement accordingly.</w:t>
      </w:r>
    </w:p>
    <w:p>
      <w:r>
        <w:rPr>
          <w:b/>
          <w:color w:val="1F3864"/>
          <w:sz w:val="23"/>
        </w:rPr>
        <w:t>8. Miscellaneous</w:t>
      </w:r>
    </w:p>
    <w:p>
      <w:r>
        <w:rPr>
          <w:b w:val="0"/>
          <w:i w:val="0"/>
          <w:sz w:val="21"/>
        </w:rPr>
        <w:t>This Agreement, together with the Operating Agreement, constitutes the entire agreement between the parties regarding the subject matter and supersedes all prior understandings. This Agreement is governed by the laws of the State of Wyoming. It may be executed in counterparts and by electronic signature. If any provision conflicts with the Operating Agreement, the Operating Agreement controls except as to the tranche payment schedule in Section 2, which controls as to payment timing.</w:t>
      </w:r>
    </w:p>
    <w:p>
      <w:r>
        <w:rPr>
          <w:b w:val="0"/>
          <w:i w:val="0"/>
          <w:sz w:val="21"/>
        </w:rPr>
      </w:r>
    </w:p>
    <w:p>
      <w:r>
        <w:rPr>
          <w:b/>
          <w:i w:val="0"/>
          <w:sz w:val="21"/>
        </w:rPr>
        <w:t>COMPANY — TYLER HOSPICE HOLDCO L.L.C.</w:t>
      </w:r>
    </w:p>
    <w:p>
      <w:r>
        <w:rPr>
          <w:b w:val="0"/>
          <w:i w:val="0"/>
          <w:sz w:val="21"/>
        </w:rPr>
        <w:t>By: _______________________________________   Date: ____________</w:t>
      </w:r>
    </w:p>
    <w:p>
      <w:r>
        <w:rPr>
          <w:b w:val="0"/>
          <w:i w:val="0"/>
          <w:sz w:val="21"/>
        </w:rPr>
        <w:t>Geoff Schackmann, Manager</w:t>
      </w:r>
    </w:p>
    <w:p>
      <w:r>
        <w:rPr>
          <w:b w:val="0"/>
          <w:i w:val="0"/>
          <w:sz w:val="21"/>
        </w:rPr>
      </w:r>
    </w:p>
    <w:p>
      <w:r>
        <w:rPr>
          <w:b/>
          <w:i w:val="0"/>
          <w:sz w:val="21"/>
        </w:rPr>
        <w:t>INVESTOR</w:t>
      </w:r>
    </w:p>
    <w:p>
      <w:r>
        <w:rPr>
          <w:b w:val="0"/>
          <w:i w:val="0"/>
          <w:sz w:val="21"/>
        </w:rPr>
        <w:t>_______________________________________   Date: ____________</w:t>
      </w:r>
    </w:p>
    <w:p>
      <w:r>
        <w:rPr>
          <w:b w:val="0"/>
          <w:i w:val="0"/>
          <w:sz w:val="21"/>
        </w:rPr>
        <w:t>James E. Bullard</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