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HOLDCO L.L.C. - A Wyoming Limited Liability Company</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HoldCo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align federal income tax treatment with the multi-member ownership of Adeline &amp; Lilah, LLC;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(v) coordinate Member governance with the post-closing capital structure; and (vi) strengthen the operator-member Restricted Interests so that the entire 13.3% is at risk and forfeitable until vested - a 4.9% time-vested base plus an 8.4% earn-up portion subject to dual-trigger (time and performance) vesting - with Company repurchase (call) rights on departure.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Adeline &amp; Lilah, LLC</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$195,000 cash (capital contribution, two tranches)</w:t>
            </w:r>
          </w:p>
        </w:tc>
        <w:tc>
          <w:tcPr>
            <w:tcW w:type="dxa" w:w="1728"/>
          </w:tcPr>
          <w:p>
            <w:r/>
            <w:r>
              <w:rPr>
                <w:sz w:val="19"/>
              </w:rPr>
              <w:t>19.5%</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0.7%</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*Each Restricted Interest of Silas R. Shelton, Dana L. Davenport, and Bradley Gene Woodard is issued and outstanding at 13.3%, the entire amount of which is at risk and forfeitable until vested. It comprises a 4.9% Initial Base that time-vests on continuous service (four-year schedule, one-year cliff) and an 8.4% Earn-Up Portion subject to dual-trigger vesting, all under the Forfeiture Conditions of Article V of the Original OA as modified by Section 4 of this Amendment; no portion is Vested at the Effective Date and each Equity Grantee may earn up to a fully-Vested 13.3%.</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be treated as a partnership for U.S. federal income tax purposes under subchapter K of the Internal Revenue Code. No election shall be made by or on behalf of the Company to be treated as an association taxable as a corporation (including no election under Treasury Reg. §301.7701-3 and no election under IRC §1361) without the prior written consent of all Members. The Manager shall serve as the Company's partnership representative under IRC §6223 for partnership audit purposes. The Manager shall cause the preparation and timely filing of all federal, state, and local tax returns (including Form 1065 and Schedule K-1 to each Member) within seventy-five (75) days of each fiscal year-end. All references in this Agreement to S-Corporation status, IRC §1361, IRC §1362, Form 2553, "S-Corp Eligible Person," "S-Corp Eligibility Certification," or similar S-Corporation concepts (including the definition at Section 2.23 and references in Sections 4.5, 8.5, 8.11, 9.1(d), 9.1(e), 11.4(b), 12.4, and 12.5) shall be of no further force or effect. References to members of any Member entity being "S-Corp Eligible Persons" or having to certify eligibility under §12.4 are deleted. The eligibility certifications in Article XII shall be limited to (i) accredited-investor status under Regulation D, and (ii) representations and warranties regarding OIG / SAM exclusion as set forth in Section 9.1(d).</w:t>
      </w:r>
    </w:p>
    <w:p>
      <w:r>
        <w:rPr>
          <w:b w:val="0"/>
          <w:i/>
          <w:sz w:val="19"/>
        </w:rPr>
        <w:t>Effect on Adeline &amp; Lilah, LLC. The Members acknowledge that Adeline &amp; Lilah, LLC is a multi-member Arizona limited liability company taxed as a partnership for federal purposes. This Section 2 of the Amendment removes the prior incompatibility between the S-Corporation election in the Original OA and Adeline &amp; Lilah, LLC's multi-member status.</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Operator Restricted Interests - sizing, vesting, and repurchase (amends and supplements Article V)</w:t>
      </w:r>
    </w:p>
    <w:p>
      <w:r>
        <w:rPr>
          <w:b w:val="0"/>
          <w:i w:val="0"/>
          <w:sz w:val="21"/>
        </w:rPr>
        <w:t>4.1 Sizing and components. Section 5.1 of the Original OA is amended so that the Restricted Interest of each of Silas R. Shelton, Dana L. Davenport, and Bradley Gene Woodard (each, an "Equity Grantee") is sized at thirteen and three-tenths percent (13.3%) of the Company, issued and outstanding as of the Effective Date and held subject to this Section 4. Each Equity Grantee's Restricted Interest comprises two components:</w:t>
      </w:r>
    </w:p>
    <w:p>
      <w:r>
        <w:rPr>
          <w:b w:val="0"/>
          <w:i w:val="0"/>
          <w:sz w:val="21"/>
        </w:rPr>
        <w:t xml:space="preserve">   (a) Initial Base - four and nine-tenths percent (4.9%), corresponding to the Equity Grantee's original Percentage Interest under the Original OA, which is initially Unvested and time-vests under Section 4.2(a) based on Continuous Service alone (a four-year schedule with a one-year cliff), without regard to the performance milestones, and is forfeitable while Unvested; and</w:t>
      </w:r>
    </w:p>
    <w:p>
      <w:r>
        <w:rPr>
          <w:b w:val="0"/>
          <w:i w:val="0"/>
          <w:sz w:val="21"/>
        </w:rPr>
        <w:t xml:space="preserve">   (b) Earn-Up Portion - the remaining eight and four-tenths percent (8.4%), which is initially Unvested and becomes Vested only as the Equity Grantee satisfies both the time and performance conditions of Section 4.2(b). Accordingly, no portion of the Restricted Interest is Vested at the Effective Date; the entire 13.3% is at risk and forfeitable until Vested, and each Equity Grantee may vest up to a fully-Vested 13.3%.</w:t>
      </w:r>
    </w:p>
    <w:p>
      <w:r>
        <w:rPr>
          <w:b w:val="0"/>
          <w:i w:val="0"/>
          <w:sz w:val="21"/>
        </w:rPr>
        <w:t>The milestone tranche sizing in Section 5.2 is amended to apply to the Earn-Up Portion as follows: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Performance milestone</w:t>
            </w:r>
          </w:p>
        </w:tc>
        <w:tc>
          <w:tcPr>
            <w:tcW w:type="dxa" w:w="2304"/>
          </w:tcPr>
          <w:p>
            <w:r/>
            <w:r>
              <w:rPr>
                <w:b/>
                <w:sz w:val="19"/>
              </w:rPr>
              <w:t>Tranche size (of 8.4% Earn-Up)</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Earn-Up</w:t>
            </w:r>
          </w:p>
        </w:tc>
        <w:tc>
          <w:tcPr>
            <w:tcW w:type="dxa" w:w="2160"/>
          </w:tcPr>
          <w:p>
            <w:r/>
            <w:r>
              <w:rPr>
                <w:sz w:val="19"/>
              </w:rPr>
              <w:t>2.100%</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Earn-Up</w:t>
            </w:r>
          </w:p>
        </w:tc>
        <w:tc>
          <w:tcPr>
            <w:tcW w:type="dxa" w:w="2160"/>
          </w:tcPr>
          <w:p>
            <w:r/>
            <w:r>
              <w:rPr>
                <w:sz w:val="19"/>
              </w:rPr>
              <w:t>4.200%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Earn-Up</w:t>
            </w:r>
          </w:p>
        </w:tc>
        <w:tc>
          <w:tcPr>
            <w:tcW w:type="dxa" w:w="2160"/>
          </w:tcPr>
          <w:p>
            <w:r/>
            <w:r>
              <w:rPr>
                <w:sz w:val="19"/>
              </w:rPr>
              <w:t>2.100%</w:t>
            </w:r>
          </w:p>
        </w:tc>
      </w:tr>
      <w:tr>
        <w:tc>
          <w:tcPr>
            <w:tcW w:type="dxa" w:w="1440"/>
          </w:tcPr>
          <w:p>
            <w:r/>
            <w:r>
              <w:rPr>
                <w:sz w:val="19"/>
              </w:rPr>
              <w:t>Earn-Up subtotal</w:t>
            </w:r>
          </w:p>
        </w:tc>
        <w:tc>
          <w:tcPr>
            <w:tcW w:type="dxa" w:w="3600"/>
          </w:tcPr>
          <w:p>
            <w:r/>
            <w:r>
              <w:rPr>
                <w:sz w:val="19"/>
              </w:rPr>
            </w:r>
          </w:p>
        </w:tc>
        <w:tc>
          <w:tcPr>
            <w:tcW w:type="dxa" w:w="2304"/>
          </w:tcPr>
          <w:p>
            <w:r/>
            <w:r>
              <w:rPr>
                <w:sz w:val="19"/>
              </w:rPr>
              <w:t>100% of Earn-Up</w:t>
            </w:r>
          </w:p>
        </w:tc>
        <w:tc>
          <w:tcPr>
            <w:tcW w:type="dxa" w:w="2160"/>
          </w:tcPr>
          <w:p>
            <w:r/>
            <w:r>
              <w:rPr>
                <w:sz w:val="19"/>
              </w:rPr>
              <w:t>8.400%</w:t>
            </w:r>
          </w:p>
        </w:tc>
      </w:tr>
      <w:tr>
        <w:tc>
          <w:tcPr>
            <w:tcW w:type="dxa" w:w="1440"/>
          </w:tcPr>
          <w:p>
            <w:r/>
            <w:r>
              <w:rPr>
                <w:sz w:val="19"/>
              </w:rPr>
              <w:t>Initial Base</w:t>
            </w:r>
          </w:p>
        </w:tc>
        <w:tc>
          <w:tcPr>
            <w:tcW w:type="dxa" w:w="3600"/>
          </w:tcPr>
          <w:p>
            <w:r/>
            <w:r>
              <w:rPr>
                <w:sz w:val="19"/>
              </w:rPr>
              <w:t>Time-vests (4-yr; 1-yr cliff)</w:t>
            </w:r>
          </w:p>
        </w:tc>
        <w:tc>
          <w:tcPr>
            <w:tcW w:type="dxa" w:w="2304"/>
          </w:tcPr>
          <w:p>
            <w:r/>
            <w:r>
              <w:rPr>
                <w:sz w:val="19"/>
              </w:rPr>
              <w:t>-</w:t>
            </w:r>
          </w:p>
        </w:tc>
        <w:tc>
          <w:tcPr>
            <w:tcW w:type="dxa" w:w="2160"/>
          </w:tcPr>
          <w:p>
            <w:r/>
            <w:r>
              <w:rPr>
                <w:sz w:val="19"/>
              </w:rPr>
              <w:t>4.900%</w:t>
            </w:r>
          </w:p>
        </w:tc>
      </w:tr>
      <w:tr>
        <w:tc>
          <w:tcPr>
            <w:tcW w:type="dxa" w:w="1440"/>
          </w:tcPr>
          <w:p>
            <w:r/>
            <w:r>
              <w:rPr>
                <w:sz w:val="19"/>
              </w:rPr>
              <w:t>Total per Equity Grantee</w:t>
            </w:r>
          </w:p>
        </w:tc>
        <w:tc>
          <w:tcPr>
            <w:tcW w:type="dxa" w:w="3600"/>
          </w:tcPr>
          <w:p>
            <w:r/>
            <w:r>
              <w:rPr>
                <w:sz w:val="19"/>
              </w:rPr>
            </w:r>
          </w:p>
        </w:tc>
        <w:tc>
          <w:tcPr>
            <w:tcW w:type="dxa" w:w="2304"/>
          </w:tcPr>
          <w:p>
            <w:r/>
            <w:r>
              <w:rPr>
                <w:sz w:val="19"/>
              </w:rPr>
            </w:r>
          </w:p>
        </w:tc>
        <w:tc>
          <w:tcPr>
            <w:tcW w:type="dxa" w:w="2160"/>
          </w:tcPr>
          <w:p>
            <w:r/>
            <w:r>
              <w:rPr>
                <w:sz w:val="19"/>
              </w:rPr>
              <w:t>13.300%</w:t>
            </w:r>
          </w:p>
        </w:tc>
      </w:tr>
    </w:tbl>
    <w:p>
      <w:r>
        <w:rPr>
          <w:b w:val="0"/>
          <w:i w:val="0"/>
          <w:sz w:val="21"/>
        </w:rPr>
        <w:t>4.2 Vesting - the entire Restricted Interest is at risk. Section 5.2 of the Original OA is amended so that no portion of the Restricted Interest is Vested at the Effective Date and the entire thirteen and three-tenths percent (13.3%) becomes vested and non-forfeitable ("Vested") only as set out below; any portion not yet Vested is "Unvested" and remains subject to forfeiture under Section 4.4. "Continuous Service" means continuous service to the Company or the Acquired Agency as an employee, officer, or manager.</w:t>
      </w:r>
    </w:p>
    <w:p>
      <w:r>
        <w:rPr>
          <w:b w:val="0"/>
          <w:i w:val="0"/>
          <w:sz w:val="21"/>
        </w:rPr>
        <w:t xml:space="preserve">   (a) Initial Base - time-vesting only. The Initial Base (Section 4.1(a)) vests on Continuous Service alone on a four-year schedule with a one-year cliff: nothing vests before the first anniversary; twenty-five percent (25%) of the Initial Base vests on the first anniversary (the "Cliff"); and the remaining seventy-five percent (75%) vests in thirty-six (36) equal monthly installments over months 13-48, so that 100% of the Initial Base is Vested on the fourth anniversary. No performance milestone is required for the Initial Base to vest.</w:t>
      </w:r>
    </w:p>
    <w:p>
      <w:r>
        <w:rPr>
          <w:b w:val="0"/>
          <w:i w:val="0"/>
          <w:sz w:val="21"/>
        </w:rPr>
        <w:t xml:space="preserve">   (b) Earn-Up Portion - dual trigger (time AND performance). The Earn-Up Portion (Section 4.1(b)) becomes Vested only to the extent BOTH of the following are satisfied; the Vested percentage of the Earn-Up Portion at any time equals the LESSER of (i) and (ii):</w:t>
      </w:r>
    </w:p>
    <w:p>
      <w:r>
        <w:rPr>
          <w:b w:val="0"/>
          <w:i w:val="0"/>
          <w:sz w:val="21"/>
        </w:rPr>
        <w:t xml:space="preserve">      (i) Time-vesting. Continuous Service on the same four-year schedule with a one-year cliff applied to the Earn-Up Portion: nothing vests before the first anniversary; twenty-five percent (25%) vests on the Cliff; and the remaining seventy-five percent (75%) vests in thirty-six (36) equal monthly installments over months 13-48.</w:t>
      </w:r>
    </w:p>
    <w:p>
      <w:r>
        <w:rPr>
          <w:b w:val="0"/>
          <w:i w:val="0"/>
          <w:sz w:val="21"/>
        </w:rPr>
        <w:t xml:space="preserve">      (ii) Performance-vesting. The milestone tranches in Section 4.1 (Breakeven; 3 consecutive Profitable months; 12 consecutive Profitable months), determined under Sections 5.2-5.3 of the Original OA.</w:t>
      </w:r>
    </w:p>
    <w:p>
      <w:r>
        <w:rPr>
          <w:b w:val="0"/>
          <w:i w:val="0"/>
          <w:sz w:val="21"/>
        </w:rPr>
        <w:t>For the Earn-Up Portion, both conditions must be met; satisfying only one does not vest it. A Grantee's total Vested Interest at any time equals the then-Vested portion of the Initial Base plus the then-Vested portion of the Earn-Up Portion; the balance is Unvested. This Section 4.2 supersedes and replaces the Termination Without Cause pro-rata credit at Section 5.5 of the Original OA, which is deleted.</w:t>
      </w:r>
    </w:p>
    <w:p>
      <w:r>
        <w:rPr>
          <w:b w:val="0"/>
          <w:i w:val="0"/>
          <w:sz w:val="21"/>
        </w:rPr>
        <w:t>4.3 Separation definitions. "Separation" means an Equity Grantee ceasing Continuous Service for any reason. The reason determines the buy-back price under Section 4.5:</w:t>
      </w:r>
    </w:p>
    <w:p>
      <w:r>
        <w:rPr>
          <w:b w:val="0"/>
          <w:i w:val="0"/>
          <w:sz w:val="21"/>
        </w:rPr>
        <w:t xml:space="preserve">   - "Good-Leaver Separation": Separation due to (i) termination by the Company without Cause; (ii) death; (iii) Disability; (iv) Retirement; or (v) voluntary resignation on or after full time-vesting (the fourth anniversary).</w:t>
      </w:r>
    </w:p>
    <w:p>
      <w:r>
        <w:rPr>
          <w:b w:val="0"/>
          <w:i w:val="0"/>
          <w:sz w:val="21"/>
        </w:rPr>
        <w:t xml:space="preserve">   - "Bad-Leaver Separation": Separation due to (i) termination by the Company for Cause (as defined in Section 5.4 of the Original OA) at any time, or (ii) voluntary resignation before full time-vesting (the fourth anniversary).</w:t>
      </w:r>
    </w:p>
    <w:p>
      <w:r>
        <w:rPr>
          <w:b w:val="0"/>
          <w:i w:val="0"/>
          <w:sz w:val="21"/>
        </w:rPr>
        <w:t xml:space="preserve">   - "Retirement" means voluntary Separation at or after age sixty-five (65) with at least three (3) years of Continuous Service, designated as a retirement by the Manager in good faith. "Disability" means inability to perform the essential functions of the role for one hundred eighty (180) consecutive days, as determined by the Manager in good faith.</w:t>
      </w:r>
    </w:p>
    <w:p>
      <w:r>
        <w:rPr>
          <w:b w:val="0"/>
          <w:i w:val="0"/>
          <w:sz w:val="21"/>
        </w:rPr>
        <w:t>4.4 Forfeiture of Unvested Interest. Upon any Separation, the Equity Grantee's Unvested Interest is automatically and immediately forfeited for no consideration and reverts to the Unissued Pool, regardless of the reason for Separation. The Manager, as attorney-in-fact under Section 5.4 of the Original OA, is authorized to execute all instruments to effect the forfeiture and any repurchase under Section 4.5.</w:t>
      </w:r>
    </w:p>
    <w:p>
      <w:r>
        <w:rPr>
          <w:b w:val="0"/>
          <w:i w:val="0"/>
          <w:sz w:val="21"/>
        </w:rPr>
        <w:t>4.5 Company repurchase (call) right over Vested Interest. Upon any Separation, the Company shall have the right, but not the obligation, to purchase all (but not less than all) of the Equity Grantee's Vested Interest (the "Call Right"), exercisable by written notice within one hundred twenty (120) days after the later of the Separation date and the date the Call Price is finally determined. If the Company does not fully exercise, the other Members (excluding the Departing Grantee) may purchase the balance pro rata within a further thirty (30) days. The purchase price (the "Call Price") for the Vested Interest is:</w:t>
      </w:r>
    </w:p>
    <w:p>
      <w:r>
        <w:rPr>
          <w:b w:val="0"/>
          <w:i w:val="0"/>
          <w:sz w:val="21"/>
        </w:rPr>
        <w:t xml:space="preserve">   (a) Good-Leaver Separation: the Fair Market Value of the Vested Interest under Section 4.6.</w:t>
      </w:r>
    </w:p>
    <w:p>
      <w:r>
        <w:rPr>
          <w:b w:val="0"/>
          <w:i w:val="0"/>
          <w:sz w:val="21"/>
        </w:rPr>
        <w:t xml:space="preserve">   (b) Bad-Leaver Separation: the LOWER of (i) the Equity Grantee's cost basis in the Vested Interest (for a Restricted Interest issued for services, the cash amount, if any, actually paid, and otherwise zero) and (ii) Fair Market Value under Section 4.6. The Members acknowledge this may result in a Call Price at or near zero for a Bad-Leaver Separation.</w:t>
      </w:r>
    </w:p>
    <w:p>
      <w:r>
        <w:rPr>
          <w:b w:val="0"/>
          <w:i w:val="0"/>
          <w:sz w:val="21"/>
        </w:rPr>
        <w:t>4.6 Fair Market Value. "Fair Market Value" of a Vested Interest means its pro-rata share of the Company's equity value - enterprise value less all outstanding indebtedness (including the SBA Loan and any seller financing) - determined as of the last day of the calendar month preceding Separation by an independent qualified appraiser under the appraised-value procedure of Section 3.11 of the Original OA, reflecting appropriate discounts for the interest's minority (non-controlling) and illiquid (lack-of-marketability) character. The Company bears the appraisal cost unless the Equity Grantee disputes it and a second appraisal differs by less than ten percent (10%), in which case the disputing Equity Grantee bears the second appraisal's cost.</w:t>
      </w:r>
    </w:p>
    <w:p>
      <w:r>
        <w:rPr>
          <w:b w:val="0"/>
          <w:i w:val="0"/>
          <w:sz w:val="21"/>
        </w:rPr>
        <w:t>4.7 Payment terms; SBA subordination. The Call Price shall be paid by an unsecured, subordinated promissory note of the Company at the Applicable Federal Rate, in equal quarterly installments over four (4) years (prepayable without penalty; the Manager may instead elect a lump sum). Notwithstanding the foregoing, no payment of the Call Price shall be made, and any such note is fully subordinated, to the extent a payment would (i) violate the SBA Loan documents or any lender covenant, (ii) occur during or cause an event of default under the SBA Loan, or (iii) reduce the Company's liquidity or debt-service coverage below any level the SBA Loan requires. Suspended payments accrue and resume when permitted; transfer of the Vested Interest to the Company may close notwithstanding deferral of cash payment.</w:t>
      </w:r>
    </w:p>
    <w:p>
      <w:r>
        <w:rPr>
          <w:b w:val="0"/>
          <w:i w:val="0"/>
          <w:sz w:val="21"/>
        </w:rPr>
        <w:t>4.8 Mechanics pending repurchase. From Separation until the Call Right expires or the repurchase closes, the Departing Grantee's Vested Interest shall be non-voting and not entitled to distributions declared after Separation (other than tax distributions on allocated income), without limiting the right to the Call Price. The Departing Grantee shall execute all transfer instruments reasonably requested; the Manager's power of attorney under Section 5.4 of the Original OA extends to all actions under this Section 4.</w:t>
      </w:r>
    </w:p>
    <w:p>
      <w:r>
        <w:rPr>
          <w:b w:val="0"/>
          <w:i/>
          <w:sz w:val="19"/>
        </w:rPr>
        <w:t>4.9 Tax; Section 83(b). The Section 83(b) election requirement at Section 5.7 of the Original OA remains in full force. The vesting and repurchase terms of this Section 4 are intended to be consistent with the Company's partnership tax treatment under Section 2 of this Amendment and any intended profits-interest treatment under Rev. Proc. 93-27; each Equity Grantee should consult independent tax counsel. Except as modified by this Section 4, Article V of the Original OA (including Sections 5.4 and 5.7) remains in full force and effect.</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one-half percent (19.5%)"**.</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Hickory seller financing arising from the acquisition described in Section 3 of Amendment No. 1,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arithmetic (clarification to Section 2.20 of the Original OA)</w:t>
      </w:r>
    </w:p>
    <w:p>
      <w:r>
        <w:rPr>
          <w:b w:val="0"/>
          <w:i w:val="0"/>
          <w:sz w:val="21"/>
        </w:rPr>
        <w:t>For the avoidance of doubt and reflecting the restated cap table in Section 1 of this Amendment, the parties acknowledge that:</w:t>
      </w:r>
    </w:p>
    <w:p>
      <w:r>
        <w:rPr>
          <w:b w:val="0"/>
          <w:i w:val="0"/>
          <w:sz w:val="21"/>
        </w:rPr>
        <w:t xml:space="preserve">  - The Unissued Pool (0.7%) is excluded from the denominator for voting purposes under Section 2.20.</w:t>
      </w:r>
    </w:p>
    <w:p>
      <w:r>
        <w:rPr>
          <w:b w:val="0"/>
          <w:i w:val="0"/>
          <w:sz w:val="21"/>
        </w:rPr>
        <w:t xml:space="preserve">  - Adeline &amp; Lilah, LLC alone holds 39.9% and cannot unilaterally pass a 60% Reserved Matter.</w:t>
      </w:r>
    </w:p>
    <w:p>
      <w:r>
        <w:rPr>
          <w:b w:val="0"/>
          <w:i w:val="0"/>
          <w:sz w:val="21"/>
        </w:rPr>
        <w:t xml:space="preserve">  - Adeline &amp; Lilah, LLC may pass a Reserved Matter by combining its 39.9% with the votes of any two (2) Equity Grantees (totaling 66.5%), or with Bullard's 19.5% plus the vote of at least one (1) Equity Grantee (totaling 72.7%).</w:t>
      </w:r>
    </w:p>
    <w:p>
      <w:r>
        <w:rPr>
          <w:b w:val="0"/>
          <w:i w:val="0"/>
          <w:sz w:val="21"/>
        </w:rPr>
        <w:t xml:space="preserve">  - Bullard does not hold a unilateral veto on Reserved Matters; a Reserved Matter may be passed without his vote if Adeline &amp; Lilah, LLC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$195,000.00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Adeline &amp; Lilah, LLC, as the Member holding sixty percent (60.0%) of Percentage Interests under the Original OA (and which, after giving effect to this Amendment, holds 39.9% of Percentage Interests), and James E. Bullard, as the Member whose rights under Sections 4.2, 4.5, 3.15, 6.7, 6.8, 6.9, and Article VIII are subject to consent rights under Section 11.4(a), each consent to the amendments set forth herein.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(individually) — GEOFF SCHACKMANN:</w:t>
      </w:r>
    </w:p>
    <w:p>
      <w:r>
        <w:rPr>
          <w:b w:val="0"/>
          <w:i w:val="0"/>
          <w:sz w:val="21"/>
        </w:rPr>
        <w:t>_______________________________________     Date: ____________</w:t>
      </w:r>
    </w:p>
    <w:p>
      <w:r>
        <w:rPr>
          <w:b w:val="0"/>
          <w:i w:val="0"/>
          <w:sz w:val="21"/>
        </w:rPr>
        <w:t>Geoff Schackmann, Manager (non-Member capacity)</w:t>
      </w:r>
    </w:p>
    <w:p>
      <w:r>
        <w:rPr>
          <w:b w:val="0"/>
          <w:i w:val="0"/>
          <w:sz w:val="21"/>
        </w:rPr>
        <w:t>Address: 4602 E Cheery Lynn Rd, Phoenix, AZ 85018  |  geoff@azaleahospice.com</w:t>
      </w:r>
    </w:p>
    <w:p>
      <w:r>
        <w:rPr>
          <w:b w:val="0"/>
          <w:i w:val="0"/>
          <w:sz w:val="21"/>
        </w:rPr>
      </w:r>
    </w:p>
    <w:p>
      <w:r>
        <w:rPr>
          <w:b w:val="0"/>
          <w:i w:val="0"/>
          <w:sz w:val="21"/>
        </w:rPr>
        <w:t>MEMBER — ADELINE &amp; LILAH, LLC:</w:t>
      </w:r>
    </w:p>
    <w:p>
      <w:r>
        <w:rPr>
          <w:b w:val="0"/>
          <w:i w:val="0"/>
          <w:sz w:val="21"/>
        </w:rPr>
        <w:t>_______________________________________     Date: ____________</w:t>
      </w:r>
    </w:p>
    <w:p>
      <w:r>
        <w:rPr>
          <w:b w:val="0"/>
          <w:i w:val="0"/>
          <w:sz w:val="21"/>
        </w:rPr>
        <w:t>By: Geoff Schackmann, Authorized Representative  |  Interest after Amendment: 39.9%</w:t>
      </w:r>
    </w:p>
    <w:p>
      <w:r>
        <w:rPr>
          <w:b w:val="0"/>
          <w:i w:val="0"/>
          <w:sz w:val="21"/>
        </w:rPr>
      </w:r>
    </w:p>
    <w:p>
      <w:r>
        <w:rPr>
          <w:b w:val="0"/>
          <w:i w:val="0"/>
          <w:sz w:val="21"/>
        </w:rPr>
        <w:t>_______________________________________     Date: ____________</w:t>
      </w:r>
    </w:p>
    <w:p>
      <w:r>
        <w:rPr>
          <w:b w:val="0"/>
          <w:i w:val="0"/>
          <w:sz w:val="21"/>
        </w:rPr>
        <w:t>By: Mary Elizabeth Burcham, Authorized Representative (50% member of Adeline &amp; Lilah, LLC)</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19.5%</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Restricted Interest, entire 13.3% subject to Forfeiture Conditions (4.9% time-vested base; 8.4% dual-trigger Earn-Up)</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Restricted Interest, entire 13.3% subject to Forfeiture Conditions (4.9% time-vested base; 8.4% dual-trigger Earn-Up)</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Restricted Interest, entire 13.3% subject to Forfeiture Conditions (4.9% time-vested base; 8.4% dual-trigger Earn-Up)</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