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30"/>
        </w:rPr>
        <w:t>Cover Letter</w:t>
      </w:r>
    </w:p>
    <w:p>
      <w:r>
        <w:rPr>
          <w:b w:val="0"/>
          <w:i w:val="0"/>
          <w:color w:val="606060"/>
          <w:sz w:val="18"/>
        </w:rPr>
        <w:t>Tyler Hospice HoldCo L.L.C. (dba Azalea Hospice &amp; Palliative Care)  |  SBA 7(a) Application</w:t>
      </w:r>
    </w:p>
    <w:p>
      <w:r>
        <w:rPr>
          <w:b w:val="0"/>
          <w:i/>
          <w:color w:val="606060"/>
          <w:sz w:val="18"/>
        </w:rPr>
        <w:t>Generic version - personalize the lender name/address and the salutation once a specific lender is identified from John Hart's network.</w:t>
      </w:r>
    </w:p>
    <w:p>
      <w:r>
        <w:rPr>
          <w:b w:val="0"/>
          <w:i w:val="0"/>
          <w:sz w:val="21"/>
        </w:rPr>
      </w:r>
    </w:p>
    <w:p>
      <w:r>
        <w:rPr>
          <w:b/>
        </w:rPr>
        <w:t xml:space="preserve">Date:  </w:t>
      </w:r>
      <w:r>
        <w:t>__________ (to provide)</w:t>
      </w:r>
    </w:p>
    <w:p>
      <w:r>
        <w:rPr>
          <w:b w:val="0"/>
          <w:i w:val="0"/>
          <w:sz w:val="21"/>
        </w:rPr>
        <w:t>[Lender name]</w:t>
      </w:r>
    </w:p>
    <w:p>
      <w:r>
        <w:rPr>
          <w:b w:val="0"/>
          <w:i w:val="0"/>
          <w:sz w:val="21"/>
        </w:rPr>
        <w:t>[Lender address]</w:t>
      </w:r>
    </w:p>
    <w:p>
      <w:r>
        <w:rPr>
          <w:b w:val="0"/>
          <w:i w:val="0"/>
          <w:sz w:val="21"/>
        </w:rPr>
        <w:t>Attn: [SBA Loan Officer]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Re: SBA 7(a) loan request - $555,000 - Tyler Hospice HoldCo L.L.C. (Azalea Hospice &amp; Palliative Care) - change-of-ownership acquisition of Hickory Hospice LLC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Dear [Loan Officer]:</w:t>
      </w:r>
    </w:p>
    <w:p>
      <w:r>
        <w:rPr>
          <w:b w:val="0"/>
          <w:i w:val="0"/>
          <w:sz w:val="21"/>
        </w:rPr>
        <w:t>We are pleased to submit this SBA 7(a) loan application for Tyler Hospice Hold, LLC, doing business as Azalea Hospice &amp; Palliative Care. We are requesting a $555,000 SBA 7(a) loan as part of a $750,000 total project to acquire and operate Hickory Hospice LLC, an established, Medicare-certified hospice agency in the East Texas market, through a startup change of ownership. The seller is paid in full at close from loan proceeds and our equity injection, so the SBA loan is the only debt the business carries.</w:t>
      </w:r>
    </w:p>
    <w:p>
      <w:r>
        <w:rPr>
          <w:b w:val="0"/>
          <w:i w:val="0"/>
          <w:sz w:val="21"/>
        </w:rPr>
        <w:t>The transaction is built on a strong foundation:</w:t>
      </w:r>
    </w:p>
    <w:p>
      <w:r>
        <w:rPr>
          <w:b w:val="0"/>
          <w:i w:val="0"/>
          <w:sz w:val="21"/>
        </w:rPr>
        <w:t xml:space="preserve">  - Established, billing-ready agency. We are acquiring an operating Medicare-certified hospice with a transferring provider number, HCSSA license, and accreditation - billing-capable from day one, with no startup enrollment ramp.</w:t>
      </w:r>
    </w:p>
    <w:p>
      <w:r>
        <w:rPr>
          <w:b w:val="0"/>
          <w:i w:val="0"/>
          <w:sz w:val="21"/>
        </w:rPr>
        <w:t xml:space="preserve">  - Experienced operator and validated local team. Our Managing Member has 10+ years of hospice ownership and operations; our Director of Sales has sustained a 40+ ADC referral book in the Tyler market for 4.5 years.</w:t>
      </w:r>
    </w:p>
    <w:p>
      <w:r>
        <w:rPr>
          <w:b w:val="0"/>
          <w:i w:val="0"/>
          <w:sz w:val="21"/>
        </w:rPr>
        <w:t xml:space="preserve">  - Substantial equity. A $195,000 cash equity injection - 26.0% of the $750,000 project, 2.6x the 10% SOP 50 10 8 minimum (below the ~30% some startup lenders prefer). $100,000 is already on deposit; the balance follows on a committed schedule.</w:t>
      </w:r>
    </w:p>
    <w:p>
      <w:r>
        <w:rPr>
          <w:b w:val="0"/>
          <w:i w:val="0"/>
          <w:sz w:val="21"/>
        </w:rPr>
        <w:t xml:space="preserve">  - Strong coverage. Because the seller is paid at close (no retained note), the SBA loan is the only debt: DSCR is 3.23x in Year 1, rising to 7.26x and 10.76x (global 7.08x) against the 1.25x floor. Break-even is ~16 ADC versus a validated opening census of ~22.</w:t>
      </w:r>
    </w:p>
    <w:p>
      <w:r>
        <w:rPr>
          <w:b w:val="0"/>
          <w:i w:val="0"/>
          <w:sz w:val="21"/>
        </w:rPr>
        <w:t xml:space="preserve">  - Clean structure. A single SBA loan, no seller note, and a fully staffed clinical roster sized to the underwritten census.</w:t>
      </w:r>
    </w:p>
    <w:p>
      <w:r>
        <w:rPr>
          <w:b w:val="0"/>
          <w:i w:val="0"/>
          <w:sz w:val="21"/>
        </w:rPr>
        <w:t>The enclosed package is indexed in the Submission Cover Sheet and includes the Company Profile, Use of Proceeds, Business Plan, financial model, equity-injection documentation, the borrower's operating agreement (as amended), and a lender credit memorandum with a DSCR sensitivity analysis. The sole 20%+ owner and guarantor is Geoff Schackmann (through Adeline &amp; Lilah, LLC); his personal financial information is provided separately.</w:t>
      </w:r>
    </w:p>
    <w:p>
      <w:r>
        <w:rPr>
          <w:b w:val="0"/>
          <w:i w:val="0"/>
          <w:sz w:val="21"/>
        </w:rPr>
        <w:t>We would welcome the opportunity to walk you through the deal and answer any questions. Thank you for your consideration.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Sincerely,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  <w:t>Geoff Schackmann</w:t>
      </w:r>
    </w:p>
    <w:p>
      <w:r>
        <w:rPr>
          <w:b w:val="0"/>
          <w:i w:val="0"/>
          <w:sz w:val="21"/>
        </w:rPr>
        <w:t>Managing Member, Tyler Hospice HoldCo L.L.C.</w:t>
      </w:r>
    </w:p>
    <w:p>
      <w:r>
        <w:rPr>
          <w:b w:val="0"/>
          <w:i w:val="0"/>
          <w:sz w:val="21"/>
        </w:rPr>
        <w:t>480-495-5474  |  geoff@azaleahospice.com</w:t>
      </w:r>
    </w:p>
    <w:p>
      <w:r>
        <w:br w:type="page"/>
      </w:r>
    </w:p>
    <w:p>
      <w:r>
        <w:rPr>
          <w:b/>
          <w:color w:val="1F3864"/>
          <w:sz w:val="30"/>
        </w:rPr>
        <w:t>Anticipated Underwriter Questions &amp; Responses</w:t>
      </w:r>
    </w:p>
    <w:p>
      <w:r>
        <w:rPr>
          <w:b w:val="0"/>
          <w:i w:val="0"/>
          <w:color w:val="606060"/>
          <w:sz w:val="18"/>
        </w:rPr>
        <w:t>Prepared to speed the credit team's review. These are the questions an SBA underwriter is most likely to raise on this deal, with our responses.</w:t>
      </w:r>
    </w:p>
    <w:p>
      <w:r>
        <w:rPr>
          <w:b/>
          <w:i w:val="0"/>
          <w:sz w:val="21"/>
        </w:rPr>
        <w:t>Q: Why this level of working capital?</w:t>
      </w:r>
    </w:p>
    <w:p>
      <w:r>
        <w:rPr>
          <w:b w:val="0"/>
          <w:i w:val="0"/>
          <w:sz w:val="21"/>
        </w:rPr>
        <w:t>A: This is a startup relaunch of an acquired agency. SBA proceeds and equity pay the seller in full at close ($300K) and fund a $372,000 working-capital reserve that carries ramp-period payroll and SBA debt service while Medicare receivables normalize to the ~45-day cycle. Because there is no seller note, monthly debt service is light (~$7,030), so the reserve stretches well through the ramp.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Q: Is Bullard's 19.5% a device to avoid a guaranty?</w:t>
      </w:r>
    </w:p>
    <w:p>
      <w:r>
        <w:rPr>
          <w:b w:val="0"/>
          <w:i w:val="0"/>
          <w:sz w:val="21"/>
        </w:rPr>
        <w:t>A: No. Mr. Bullard is contributing $195,000 of his own savings as a genuine capital contribution for a 19.5% interest - the cash is the equity injection. He holds protective minority rights but no day-to-day operational control; the Manager (Geoff Schackmann via Adeline &amp; Lilah, LLC) controls the business. Per OA Amendment No. 1, Bullard's consent is not required for SBA-loan actions, and the Texas Shootout buy-sell is suspended while the SBA loan is outstanding. He has signed an attestation to this effect. He does not hold a unilateral veto: a 60% Reserved-Matters vote can pass with Adeline &amp; Lilah plus any two operator-members (66.5%).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Q: The equity injection isn't all in yet - how is that handled?</w:t>
      </w:r>
    </w:p>
    <w:p>
      <w:r>
        <w:rPr>
          <w:b w:val="0"/>
          <w:i w:val="0"/>
          <w:sz w:val="21"/>
        </w:rPr>
        <w:t>A: $100,000 was wired May 7, 2026 and is on deposit. The balance follows on a committed schedule. We have scheduled the CHOW close and SBA disbursement to occur after the full $195,000 is on deposit, so the complete injection is verified at disbursement per SOP 50 10 8. Source-of-funds statements are provided for each tranche.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Q: How real is the census ramp?</w:t>
      </w:r>
    </w:p>
    <w:p>
      <w:r>
        <w:rPr>
          <w:b w:val="0"/>
          <w:i w:val="0"/>
          <w:sz w:val="21"/>
        </w:rPr>
        <w:t>A: Opening census of ~22 ADC is underwritten conservatively against a validated referral pipeline: the Director of Sales sustained 40+ ADC in this market for 4.5 years and previously built agencies from single digits to 70-220 patients. Break-even is ~16 ADC, so we are profitable at opening census. The DSCR sensitivity memo stresses census down 10-20% and shows the mitigants (the $372K reserve, a partly census-driven roster, and the seller-paid-at-close structure that leaves the SBA loan as the only debt).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Q: What happens if Year 1 underperforms?</w:t>
      </w:r>
    </w:p>
    <w:p>
      <w:r>
        <w:rPr>
          <w:b w:val="0"/>
          <w:i w:val="0"/>
          <w:sz w:val="21"/>
        </w:rPr>
        <w:t>A: The enclosed sensitivity analysis tests census, rate, and payroll shocks. With no seller note, Year-1 coverage starts at 3.23x and absorbs a 10% census miss, a 5% rate cut, or a 10% wage spike and still clears comfortably; the only break is a hard, sustained 20% census shortfall, bridged by the $372K reserve and a roster that flexes with census. We propose a monthly census-and-cash covenant in Year 1 so the lender can monitor the binding variable.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Q: Is the CHOW provider-number transfer clean?</w:t>
      </w:r>
    </w:p>
    <w:p>
      <w:r>
        <w:rPr>
          <w:b w:val="0"/>
          <w:i w:val="0"/>
          <w:sz w:val="21"/>
        </w:rPr>
        <w:t>A: The acquisition is a purchase of 100% of Hickory Hospice LLC's membership interests; the Medicare PTAN/NPI, HCSSA license, and accreditation transfer through the CHOW process. We will provide the executed purchase agreement, the CMS-855A CHOW filing status, and the accreditation continuation notice at or before close.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Q: Are there affiliates that affect size or eligibility?</w:t>
      </w:r>
    </w:p>
    <w:p>
      <w:r>
        <w:rPr>
          <w:b w:val="0"/>
          <w:i w:val="0"/>
          <w:sz w:val="21"/>
        </w:rPr>
        <w:t>A: No operating affiliates. The borrower is a newco acquiring Hickory (which becomes its wholly owned subsidiary), held through the non-operating holding entity Adeline &amp; Lilah, LLC. The Managing Member sold his prior hospice interest (VistaRiver) in August 2025 and holds only a passive seller-financed note - no equity or management role - so it is not an affiliate. He does not own 20%+ of, or control, any other operating business. See the Affiliate &amp; Size-Standard memo.</w:t>
      </w:r>
    </w:p>
    <w:p>
      <w:r>
        <w:rPr>
          <w:b w:val="0"/>
          <w:i w:val="0"/>
          <w:sz w:val="21"/>
        </w:rPr>
      </w:r>
    </w:p>
    <w:p>
      <w:r>
        <w:rPr>
          <w:b/>
          <w:i w:val="0"/>
          <w:sz w:val="21"/>
        </w:rPr>
        <w:t>Q: This is a startup newco - how do you get comfortable with no operating history?</w:t>
      </w:r>
    </w:p>
    <w:p>
      <w:r>
        <w:rPr>
          <w:b w:val="0"/>
          <w:i w:val="0"/>
          <w:sz w:val="21"/>
        </w:rPr>
        <w:t>A: The borrower is new, but it acquires an established, billing-ready Medicare-certified agency whose economics are benchmarked to the seller's actual Apr-Jun 2025 collections (~$118K/mo net at ~22 ADC), and it is led by an operator with 10+ years of hospice ownership and a Director of Sales with a validated 40+ ADC East-Texas referral book. The equity injection is 26.0% of project cost, and with the seller paid at close the SBA loan is the only debt - Year-1 DSCR ~3.23x.</w:t>
      </w:r>
    </w:p>
    <w:p>
      <w:r>
        <w:rPr>
          <w:b w:val="0"/>
          <w:i w:val="0"/>
          <w:sz w:val="21"/>
        </w:rPr>
      </w:r>
    </w:p>
    <w:p>
      <w:r>
        <w:rPr>
          <w:b w:val="0"/>
          <w:i w:val="0"/>
          <w:sz w:val="21"/>
        </w:rPr>
      </w:r>
    </w:p>
    <w:p>
      <w:r>
        <w:rPr>
          <w:b w:val="0"/>
          <w:i/>
          <w:color w:val="606060"/>
          <w:sz w:val="16"/>
        </w:rPr>
        <w:t>Prepared for the SBA 7(a) loan application of Tyler Hospice Hold LLC (dba Azalea Hospice &amp; Palliative Care). Confidential.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