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Information Still Needed to Complete the SBA Package</w:t>
      </w:r>
    </w:p>
    <w:p>
      <w:r>
        <w:rPr>
          <w:b w:val="0"/>
          <w:i w:val="0"/>
          <w:color w:val="606060"/>
          <w:sz w:val="18"/>
        </w:rPr>
        <w:t>Everything below is data only you or your advisors can supply. Drafts are pre-filled with everything derivable from the business plan and model; these are the remaining blanks.</w:t>
      </w:r>
    </w:p>
    <w:p>
      <w:r>
        <w:rPr>
          <w:b/>
          <w:color w:val="1F3864"/>
          <w:sz w:val="23"/>
        </w:rPr>
        <w:t>A. Entity / company (for Company Profile)</w:t>
      </w:r>
    </w:p>
    <w:p>
      <w:r>
        <w:rPr>
          <w:b w:val="0"/>
          <w:i w:val="0"/>
          <w:sz w:val="21"/>
        </w:rPr>
        <w:t xml:space="preserve">  - Principal office street address, city, zip, phone, fax, web address</w:t>
      </w:r>
    </w:p>
    <w:p>
      <w:r>
        <w:rPr>
          <w:b w:val="0"/>
          <w:i w:val="0"/>
          <w:sz w:val="21"/>
        </w:rPr>
        <w:t xml:space="preserve">  - CPA name / firm / phone</w:t>
      </w:r>
    </w:p>
    <w:p>
      <w:r>
        <w:rPr>
          <w:b w:val="0"/>
          <w:i w:val="0"/>
          <w:sz w:val="21"/>
        </w:rPr>
        <w:t xml:space="preserve">  - Attorney name / firm / phone</w:t>
      </w:r>
    </w:p>
    <w:p>
      <w:r>
        <w:rPr>
          <w:b w:val="0"/>
          <w:i w:val="0"/>
          <w:sz w:val="21"/>
        </w:rPr>
        <w:t xml:space="preserve">  - Insurance agent name / firm / phone</w:t>
      </w:r>
    </w:p>
    <w:p>
      <w:r>
        <w:rPr>
          <w:b w:val="0"/>
          <w:i w:val="0"/>
          <w:sz w:val="21"/>
        </w:rPr>
        <w:t xml:space="preserve">  - Confirm business checking account name and signers</w:t>
      </w:r>
    </w:p>
    <w:p>
      <w:r>
        <w:rPr>
          <w:b/>
          <w:color w:val="1F3864"/>
          <w:sz w:val="23"/>
        </w:rPr>
        <w:t>B. For Geoff Schackmann (sole 20%+ controlling owner via Adeline &amp; Lilah, LLC at 39.9%)</w:t>
      </w:r>
    </w:p>
    <w:p>
      <w:r>
        <w:rPr>
          <w:b w:val="0"/>
          <w:i/>
          <w:sz w:val="18"/>
        </w:rPr>
        <w:t>Note: Geoff controls A&amp;L's 39.9% block as its sole Manager and is the sole 20%+ owner for SBA guaranty purposes. James Bullard (19.5% direct) and Mary Elizabeth Burcham (19.95% indirect via her 50% of A&amp;L) are each under 20% with no management role, so neither needs PFS, Form 912, or tax returns. Bullard's source of funds is verified separately (Section B2); Mary Elizabeth signs a spouse acknowledgement at close (Section B3).</w:t>
      </w:r>
    </w:p>
    <w:p>
      <w:r>
        <w:rPr>
          <w:b w:val="0"/>
          <w:i w:val="0"/>
          <w:sz w:val="21"/>
        </w:rPr>
        <w:t xml:space="preserve">  - SSN, date of birth, place of birth, home address (and prior address with dates)</w:t>
      </w:r>
    </w:p>
    <w:p>
      <w:r>
        <w:rPr>
          <w:b w:val="0"/>
          <w:i w:val="0"/>
          <w:sz w:val="21"/>
        </w:rPr>
        <w:t xml:space="preserve">  - Personal Financial Statement (SBA Form 413) - assets, liabilities, income</w:t>
      </w:r>
    </w:p>
    <w:p>
      <w:r>
        <w:rPr>
          <w:b w:val="0"/>
          <w:i w:val="0"/>
          <w:sz w:val="21"/>
        </w:rPr>
        <w:t xml:space="preserve">  - Personal cash flow statement (template 7a)</w:t>
      </w:r>
    </w:p>
    <w:p>
      <w:r>
        <w:rPr>
          <w:b w:val="0"/>
          <w:i w:val="0"/>
          <w:sz w:val="21"/>
        </w:rPr>
        <w:t xml:space="preserve">  - Personal History Form (SBA Form 912) - the legal/background questions</w:t>
      </w:r>
    </w:p>
    <w:p>
      <w:r>
        <w:rPr>
          <w:b w:val="0"/>
          <w:i w:val="0"/>
          <w:sz w:val="21"/>
        </w:rPr>
        <w:t xml:space="preserve">  - Three years of personal tax returns (all schedules, W-2s, 1099s)</w:t>
      </w:r>
    </w:p>
    <w:p>
      <w:r>
        <w:rPr>
          <w:b w:val="0"/>
          <w:i w:val="0"/>
          <w:sz w:val="21"/>
        </w:rPr>
        <w:t xml:space="preserve">  - Resume / Management Resume personal fields (SSN, DOB, addresses, dates, spouse, military, education)</w:t>
      </w:r>
    </w:p>
    <w:p>
      <w:r>
        <w:rPr>
          <w:b w:val="0"/>
          <w:i w:val="0"/>
          <w:sz w:val="21"/>
        </w:rPr>
        <w:t xml:space="preserve">  - Credit report and driver license</w:t>
      </w:r>
    </w:p>
    <w:p>
      <w:r>
        <w:rPr>
          <w:b w:val="0"/>
          <w:i w:val="0"/>
          <w:sz w:val="21"/>
        </w:rPr>
        <w:t xml:space="preserve">  - PFS asset support: the executed VistaRiver MIPA + Promissory Note (already in folder 10) and</w:t>
      </w:r>
    </w:p>
    <w:p>
      <w:r>
        <w:rPr>
          <w:b w:val="0"/>
          <w:i w:val="0"/>
          <w:sz w:val="21"/>
        </w:rPr>
        <w:t xml:space="preserve">  -   a current VistaRiver payment ledger or recent statements confirming the note is current</w:t>
      </w:r>
    </w:p>
    <w:p>
      <w:r>
        <w:rPr>
          <w:b w:val="0"/>
          <w:i w:val="0"/>
          <w:sz w:val="21"/>
        </w:rPr>
        <w:t xml:space="preserve">  - Any other PFS assets to disclose (real estate, retirement accounts, vehicles, other investments)</w:t>
      </w:r>
    </w:p>
    <w:p>
      <w:r>
        <w:rPr>
          <w:b/>
          <w:color w:val="1F3864"/>
          <w:sz w:val="23"/>
        </w:rPr>
        <w:t>B2. Equity injection verification (James Bullard, contributor)</w:t>
      </w:r>
    </w:p>
    <w:p>
      <w:r>
        <w:rPr>
          <w:b w:val="0"/>
          <w:i/>
          <w:sz w:val="18"/>
        </w:rPr>
        <w:t>Tranche 1 of $100,000 is confirmed received - Mercury (Column N.A.) acct ****1275, May 7, 2026 wire from JIM BULLARD; balance still held as of June 3, 2026. Tranches 2 ($TBD, June 2026) and 3 ($TBD, July 2026) are committed and outstanding. The following remain needed; SOP 50 10 8 source-of-funds verification is required for each tranche even though Mr. Bullard is under 20% (no PFS, Form 912, tax returns, or guaranty required of him).</w:t>
      </w:r>
    </w:p>
    <w:p>
      <w:r>
        <w:rPr>
          <w:b w:val="0"/>
          <w:i w:val="0"/>
          <w:sz w:val="21"/>
        </w:rPr>
        <w:t xml:space="preserve">  - Mr. Bullard's bank or brokerage statements - in his own name - covering 30+ days BEFORE each wire, showing the funds available</w:t>
      </w:r>
    </w:p>
    <w:p>
      <w:r>
        <w:rPr>
          <w:b w:val="0"/>
          <w:i w:val="0"/>
          <w:sz w:val="21"/>
        </w:rPr>
        <w:t xml:space="preserve">  - Wire/transfer confirmations for the June and July tranches as they land</w:t>
      </w:r>
    </w:p>
    <w:p>
      <w:r>
        <w:rPr>
          <w:b w:val="0"/>
          <w:i w:val="0"/>
          <w:sz w:val="21"/>
        </w:rPr>
        <w:t xml:space="preserve">  - Final Mercury statement (or trailing-day balance) showing the full $195,000 has been received once Tranche 2 lands</w:t>
      </w:r>
    </w:p>
    <w:p>
      <w:r>
        <w:rPr>
          <w:b w:val="0"/>
          <w:i w:val="0"/>
          <w:sz w:val="21"/>
        </w:rPr>
        <w:t xml:space="preserve">  - Save the screenshot/PDF of Mercury acct ****1275 showing the May 7 wire under 10_supporting_documents/equity_injection_evidence/</w:t>
      </w:r>
    </w:p>
    <w:p>
      <w:r>
        <w:rPr>
          <w:b w:val="0"/>
          <w:i/>
          <w:sz w:val="18"/>
        </w:rPr>
        <w:t>Timing: SBA closing/disbursement will occur AFTER the July 2026 tranche so the full $195,000 is on deposit at disbursement (per SOP 50 10 8). No holdback or acceleration needed.</w:t>
      </w:r>
    </w:p>
    <w:p>
      <w:r>
        <w:rPr>
          <w:b/>
          <w:color w:val="1F3864"/>
          <w:sz w:val="23"/>
        </w:rPr>
        <w:t>B3. Spouse acknowledgement (Mary Elizabeth Burcham)</w:t>
      </w:r>
    </w:p>
    <w:p>
      <w:r>
        <w:rPr>
          <w:b w:val="0"/>
          <w:i/>
          <w:sz w:val="18"/>
        </w:rPr>
        <w:t>Mary Elizabeth Burcham is Geoff's spouse and holds 50% of Adeline &amp; Lilah, LLC (giving her a 19.95% indirect interest in Tyler Hospice Hold LLC - under 20%, no management role). As the guarantor's spouse she signs a customary spouse acknowledgement / consent, not a co-guaranty.</w:t>
      </w:r>
    </w:p>
    <w:p>
      <w:r>
        <w:rPr>
          <w:b w:val="0"/>
          <w:i w:val="0"/>
          <w:sz w:val="21"/>
        </w:rPr>
        <w:t xml:space="preserve">  - Mary Elizabeth Burcham's full legal name (with middle name/initial), date of birth, address</w:t>
      </w:r>
    </w:p>
    <w:p>
      <w:r>
        <w:rPr>
          <w:b w:val="0"/>
          <w:i w:val="0"/>
          <w:sz w:val="21"/>
        </w:rPr>
        <w:t xml:space="preserve">  - Her signature on the Spouse Acknowledgement / Consent (lender provides form at close)</w:t>
      </w:r>
    </w:p>
    <w:p>
      <w:r>
        <w:rPr>
          <w:b w:val="0"/>
          <w:i w:val="0"/>
          <w:sz w:val="21"/>
        </w:rPr>
        <w:t xml:space="preserve">  - If the lender requires it (varies by lender, not by SBA): a brief PFS for the marital household. Confirm with John Hart whether his bank requires this for the spouse of the sole guarantor.</w:t>
      </w:r>
    </w:p>
    <w:p>
      <w:r>
        <w:rPr>
          <w:b/>
          <w:color w:val="1F3864"/>
          <w:sz w:val="23"/>
        </w:rPr>
        <w:t>C. Transaction documents</w:t>
      </w:r>
    </w:p>
    <w:p>
      <w:r>
        <w:rPr>
          <w:b w:val="0"/>
          <w:i w:val="0"/>
          <w:sz w:val="21"/>
        </w:rPr>
        <w:t xml:space="preserve">  - Hickory CHOW purchase agreement (Asset/Membership Purchase Agreement)</w:t>
      </w:r>
    </w:p>
    <w:p>
      <w:r>
        <w:rPr>
          <w:b w:val="0"/>
          <w:i w:val="0"/>
          <w:sz w:val="21"/>
        </w:rPr>
        <w:t xml:space="preserve">  - Wire confirmation for the $300,000 seller payoff at close (no seller note retained)</w:t>
      </w:r>
    </w:p>
    <w:p>
      <w:r>
        <w:rPr>
          <w:b w:val="0"/>
          <w:i w:val="0"/>
          <w:sz w:val="21"/>
        </w:rPr>
        <w:t xml:space="preserve">  - Letter of intent / contract for the Hickory purchase</w:t>
      </w:r>
    </w:p>
    <w:p>
      <w:r>
        <w:rPr>
          <w:b w:val="0"/>
          <w:i w:val="0"/>
          <w:sz w:val="21"/>
        </w:rPr>
        <w:t xml:space="preserve">  - Office lease or LOI (term should match the loan term, with options)</w:t>
      </w:r>
    </w:p>
    <w:p>
      <w:r>
        <w:rPr>
          <w:b/>
          <w:color w:val="1F3864"/>
          <w:sz w:val="23"/>
        </w:rPr>
        <w:t>D. Decisions for you / John Hart</w:t>
      </w:r>
    </w:p>
    <w:p>
      <w:r>
        <w:rPr>
          <w:b w:val="0"/>
          <w:i w:val="0"/>
          <w:sz w:val="21"/>
        </w:rPr>
        <w:t xml:space="preserve">  - Approve updating the Business Plan financials to the current model (see Reconciliation memo) - recommended</w:t>
      </w:r>
    </w:p>
    <w:p>
      <w:r>
        <w:rPr>
          <w:b w:val="0"/>
          <w:i w:val="0"/>
          <w:sz w:val="21"/>
        </w:rPr>
        <w:t xml:space="preserve">  - The 'bank approval - a couple items to discuss' note on the checklist: what are John's items?</w:t>
      </w:r>
    </w:p>
    <w:p>
      <w:r>
        <w:rPr>
          <w:b w:val="0"/>
          <w:i w:val="0"/>
          <w:sz w:val="21"/>
        </w:rPr>
        <w:t xml:space="preserve">  - Whether the lender wants the COVID questionnaire answered (we can draft brief responses)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