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3A5F"/>
          <w:sz w:val="26"/>
        </w:rPr>
        <w:t>AZALEA HOSPICE - DATA ROOM CHECKLIST &amp; COMPLIANCE OUTLINE</w:t>
      </w:r>
    </w:p>
    <w:p>
      <w:pPr>
        <w:spacing w:before="160"/>
      </w:pPr>
      <w:r>
        <w:rPr>
          <w:b/>
          <w:color w:val="1F3A5F"/>
          <w:sz w:val="22"/>
        </w:rPr>
        <w:t>A. Data room contents (assemble before first investor meeting)</w:t>
      </w:r>
    </w:p>
    <w:p>
      <w:r>
        <w:rPr>
          <w:b w:val="0"/>
          <w:i w:val="0"/>
          <w:sz w:val="21"/>
        </w:rPr>
        <w:t xml:space="preserve">  [ ]  36-month financial model (Rev 3.00 dynamic proforma) + KPI dashboard</w:t>
      </w:r>
    </w:p>
    <w:p>
      <w:r>
        <w:rPr>
          <w:b w:val="0"/>
          <w:i w:val="0"/>
          <w:sz w:val="21"/>
        </w:rPr>
        <w:t xml:space="preserve">  [ ]  License diligence: CCN/certification status, survey history, 36-month-rule position, Medicaid contract</w:t>
      </w:r>
    </w:p>
    <w:p>
      <w:r>
        <w:rPr>
          <w:b w:val="0"/>
          <w:i w:val="0"/>
          <w:sz w:val="21"/>
        </w:rPr>
        <w:t xml:space="preserve">  [ ]  Purchase agreement + bank financing terms for the license</w:t>
      </w:r>
    </w:p>
    <w:p>
      <w:r>
        <w:rPr>
          <w:b w:val="0"/>
          <w:i w:val="0"/>
          <w:sz w:val="21"/>
        </w:rPr>
        <w:t xml:space="preserve">  [ ]  Amended &amp; Restated Operating Agreement + subsidiary OA</w:t>
      </w:r>
    </w:p>
    <w:p>
      <w:r>
        <w:rPr>
          <w:b w:val="0"/>
          <w:i w:val="0"/>
          <w:sz w:val="21"/>
        </w:rPr>
        <w:t xml:space="preserve">  [ ]  Team: leadership bios, equity/vesting summary, key-person provisions</w:t>
      </w:r>
    </w:p>
    <w:p>
      <w:r>
        <w:rPr>
          <w:b w:val="0"/>
          <w:i w:val="0"/>
          <w:sz w:val="21"/>
        </w:rPr>
        <w:t xml:space="preserve">  [ ]  Market: license comps exhibit, census/referral plan, prior-operation actuals</w:t>
      </w:r>
    </w:p>
    <w:p>
      <w:r>
        <w:rPr>
          <w:b w:val="0"/>
          <w:i w:val="0"/>
          <w:sz w:val="21"/>
        </w:rPr>
        <w:t xml:space="preserve">  [ ]  Note documents (from securities counsel): note purchase agreement, form of note, subordination terms, risk factors</w:t>
      </w:r>
    </w:p>
    <w:p>
      <w:r>
        <w:rPr>
          <w:b w:val="0"/>
          <w:i w:val="0"/>
          <w:sz w:val="21"/>
        </w:rPr>
        <w:t xml:space="preserve">  [ ]  Insurance certificates; entity good-standing certificates</w:t>
      </w:r>
    </w:p>
    <w:p>
      <w:pPr>
        <w:spacing w:before="160"/>
      </w:pPr>
      <w:r>
        <w:rPr>
          <w:b/>
          <w:color w:val="1F3A5F"/>
          <w:sz w:val="22"/>
        </w:rPr>
        <w:t>B. Accredited investor questionnaire - OUTLINE for counsel (not a legal form)</w:t>
      </w:r>
    </w:p>
    <w:p>
      <w:r>
        <w:rPr>
          <w:b w:val="0"/>
          <w:i w:val="0"/>
          <w:sz w:val="21"/>
        </w:rPr>
        <w:t xml:space="preserve">  -  Identity, residence (US individual), investment amount</w:t>
      </w:r>
    </w:p>
    <w:p>
      <w:r>
        <w:rPr>
          <w:b w:val="0"/>
          <w:i w:val="0"/>
          <w:sz w:val="21"/>
        </w:rPr>
        <w:t xml:space="preserve">  -  Accreditation basis: income test / net-worth test / license-holder</w:t>
      </w:r>
    </w:p>
    <w:p>
      <w:r>
        <w:rPr>
          <w:b w:val="0"/>
          <w:i w:val="0"/>
          <w:sz w:val="21"/>
        </w:rPr>
        <w:t xml:space="preserve">  -  Sophistication &amp; risk acknowledgments (illiquidity, subordination, loss of capital)</w:t>
      </w:r>
    </w:p>
    <w:p>
      <w:r>
        <w:rPr>
          <w:b w:val="0"/>
          <w:i w:val="0"/>
          <w:sz w:val="21"/>
        </w:rPr>
        <w:t xml:space="preserve">  -  Source-of-funds representation</w:t>
      </w:r>
    </w:p>
    <w:p>
      <w:r>
        <w:rPr>
          <w:b w:val="0"/>
          <w:i w:val="0"/>
          <w:sz w:val="21"/>
        </w:rPr>
        <w:t xml:space="preserve">  -  HEALTHCARE ITEM: does the investor (or spouse/practice) refer patients to hospice or certify terminal illness? If yes - route to healthcare regulatory counsel BEFORE acceptance (Anti-Kickback Statute)</w:t>
      </w:r>
    </w:p>
    <w:p>
      <w:r>
        <w:rPr>
          <w:b w:val="0"/>
          <w:i w:val="0"/>
          <w:sz w:val="21"/>
        </w:rPr>
        <w:t xml:space="preserve">  -  OIG/SAM exclusion representation</w:t>
      </w:r>
    </w:p>
    <w:p>
      <w:r>
        <w:rPr>
          <w:b w:val="0"/>
          <w:i w:val="0"/>
          <w:sz w:val="21"/>
        </w:rPr>
        <w:t xml:space="preserve">  -  Pre-existing-relationship note (who introduced, when) - supports the private-offering posture</w:t>
      </w:r>
    </w:p>
    <w:p>
      <w:pPr>
        <w:spacing w:before="160"/>
      </w:pPr>
      <w:r>
        <w:rPr>
          <w:b/>
          <w:color w:val="1F3A5F"/>
          <w:sz w:val="22"/>
        </w:rPr>
        <w:t>C. Compliance guardrails (counsel to confirm; this is not legal advice)</w:t>
      </w:r>
    </w:p>
    <w:p>
      <w:r>
        <w:rPr>
          <w:b w:val="0"/>
          <w:i w:val="0"/>
          <w:sz w:val="21"/>
        </w:rPr>
        <w:t xml:space="preserve">  -  Reg D 506(b): no general solicitation - no public advertising, no mass outreach, warm introductions only; accredited investors only as a practice</w:t>
      </w:r>
    </w:p>
    <w:p>
      <w:r>
        <w:rPr>
          <w:b w:val="0"/>
          <w:i w:val="0"/>
          <w:sz w:val="21"/>
        </w:rPr>
        <w:t xml:space="preserve">  -  File Form D within 15 days of first sale + Texas blue-sky notice</w:t>
      </w:r>
    </w:p>
    <w:p>
      <w:r>
        <w:rPr>
          <w:b w:val="0"/>
          <w:i w:val="0"/>
          <w:sz w:val="21"/>
        </w:rPr>
        <w:t xml:space="preserve">  -  AKS: no notes to physicians or others in a position to refer patients without written clearance from healthcare regulatory counsel; document the analysis</w:t>
      </w:r>
    </w:p>
    <w:p>
      <w:r>
        <w:rPr>
          <w:b w:val="0"/>
          <w:i w:val="0"/>
          <w:sz w:val="21"/>
        </w:rPr>
        <w:t xml:space="preserve">  -  Every recipient of the deck/teaser logged (name, date, who introduced) - keeps the offering private and provable</w:t>
      </w:r>
    </w:p>
    <w:p>
      <w:r>
        <w:rPr>
          <w:b w:val="0"/>
          <w:i w:val="0"/>
          <w:sz w:val="21"/>
        </w:rPr>
        <w:t xml:space="preserve">  -  Subordination to the bank license loan disclosed in every document that mentions security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