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3A5F"/>
          <w:sz w:val="26"/>
        </w:rPr>
        <w:t>AZALEA HOSPICE - INVESTOR FAQ (Note Offering)</w:t>
      </w:r>
    </w:p>
    <w:p>
      <w:r>
        <w:rPr>
          <w:b w:val="0"/>
          <w:i/>
          <w:color w:val="6B6B6B"/>
          <w:sz w:val="18"/>
        </w:rPr>
        <w:t>Plain answers. Definitive terms live in the note documents your counsel will review.</w:t>
      </w:r>
    </w:p>
    <w:p>
      <w:pPr>
        <w:spacing w:before="160"/>
      </w:pPr>
      <w:r>
        <w:rPr>
          <w:b/>
          <w:color w:val="1F3A5F"/>
          <w:sz w:val="22"/>
        </w:rPr>
        <w:t>What exactly am I buying?</w:t>
      </w:r>
    </w:p>
    <w:p>
      <w:r>
        <w:rPr>
          <w:b w:val="0"/>
          <w:i w:val="0"/>
          <w:sz w:val="21"/>
        </w:rPr>
        <w:t>A promissory note from the company: 10% annual interest paid quarterly in cash, principal returned in 3 years (or earlier - we can prepay without penalty). You are a lender, not an owner.</w:t>
      </w:r>
    </w:p>
    <w:p>
      <w:pPr>
        <w:spacing w:before="160"/>
      </w:pPr>
      <w:r>
        <w:rPr>
          <w:b/>
          <w:color w:val="1F3A5F"/>
          <w:sz w:val="22"/>
        </w:rPr>
        <w:t>Where does my interest come from?</w:t>
      </w:r>
    </w:p>
    <w:p>
      <w:r>
        <w:rPr>
          <w:b w:val="0"/>
          <w:i w:val="0"/>
          <w:sz w:val="21"/>
        </w:rPr>
        <w:t>Operating cash flow. Quarterly interest on the full $500,000 is $12,500. By the second quarter the business generates several times that in EBITDA; before that, the raise proceeds themselves cover it. Coverage math is in the model in the data room.</w:t>
      </w:r>
    </w:p>
    <w:p>
      <w:pPr>
        <w:spacing w:before="160"/>
      </w:pPr>
      <w:r>
        <w:rPr>
          <w:b/>
          <w:color w:val="1F3A5F"/>
          <w:sz w:val="22"/>
        </w:rPr>
        <w:t>What stands behind the note?</w:t>
      </w:r>
    </w:p>
    <w:p>
      <w:r>
        <w:rPr>
          <w:b w:val="0"/>
          <w:i w:val="0"/>
          <w:sz w:val="21"/>
        </w:rPr>
        <w:t>The operating business and its license. The note is subordinate to the bank loan that financed the license purchase (about $500K, 3-year amortization) - that is disclosed plainly in the documents. The license itself is a scarce asset: comparable Medicare+Medicaid licenses list around $400K and can no longer be created.</w:t>
      </w:r>
    </w:p>
    <w:p>
      <w:pPr>
        <w:spacing w:before="160"/>
      </w:pPr>
      <w:r>
        <w:rPr>
          <w:b/>
          <w:color w:val="1F3A5F"/>
          <w:sz w:val="22"/>
        </w:rPr>
        <w:t>What happens if the census ramps slower than planned?</w:t>
      </w:r>
    </w:p>
    <w:p>
      <w:r>
        <w:rPr>
          <w:b w:val="0"/>
          <w:i w:val="0"/>
          <w:sz w:val="21"/>
        </w:rPr>
        <w:t>Three cushions, in order: the $100K reserve inside the raise, a working-capital facility, and management salary deferrals the operating agreement already contemplates. We stress-tested 85% census with 10% higher payroll - obligations are still serviced.</w:t>
      </w:r>
    </w:p>
    <w:p>
      <w:pPr>
        <w:spacing w:before="160"/>
      </w:pPr>
      <w:r>
        <w:rPr>
          <w:b/>
          <w:color w:val="1F3A5F"/>
          <w:sz w:val="22"/>
        </w:rPr>
        <w:t>Why notes instead of equity?</w:t>
      </w:r>
    </w:p>
    <w:p>
      <w:r>
        <w:rPr>
          <w:b w:val="0"/>
          <w:i w:val="0"/>
          <w:sz w:val="21"/>
        </w:rPr>
        <w:t>Cleaner for everyone. The company is an S corporation with a settled ownership group; notes avoid ownership complexity and give you a defined return and exit date. You get a 1099-INT, not a K-1.</w:t>
      </w:r>
    </w:p>
    <w:p>
      <w:pPr>
        <w:spacing w:before="160"/>
      </w:pPr>
      <w:r>
        <w:rPr>
          <w:b/>
          <w:color w:val="1F3A5F"/>
          <w:sz w:val="22"/>
        </w:rPr>
        <w:t>Can I convert to equity later?</w:t>
      </w:r>
    </w:p>
    <w:p>
      <w:r>
        <w:rPr>
          <w:b w:val="0"/>
          <w:i w:val="0"/>
          <w:sz w:val="21"/>
        </w:rPr>
        <w:t>Not automatically. If an equity round ever happens, noteholders will hear about it first, but this instrument is straight debt.</w:t>
      </w:r>
    </w:p>
    <w:p>
      <w:pPr>
        <w:spacing w:before="160"/>
      </w:pPr>
      <w:r>
        <w:rPr>
          <w:b/>
          <w:color w:val="1F3A5F"/>
          <w:sz w:val="22"/>
        </w:rPr>
        <w:t>When and how do I get paid?</w:t>
      </w:r>
    </w:p>
    <w:p>
      <w:r>
        <w:rPr>
          <w:b w:val="0"/>
          <w:i w:val="0"/>
          <w:sz w:val="21"/>
        </w:rPr>
        <w:t>Interest hits your account quarterly starting the first full quarter after closing. Principal comes back at month 36, or sooner if we prepay.</w:t>
      </w:r>
    </w:p>
    <w:p>
      <w:pPr>
        <w:spacing w:before="160"/>
      </w:pPr>
      <w:r>
        <w:rPr>
          <w:b/>
          <w:color w:val="1F3A5F"/>
          <w:sz w:val="22"/>
        </w:rPr>
        <w:t>What reporting do I get?</w:t>
      </w:r>
    </w:p>
    <w:p>
      <w:r>
        <w:rPr>
          <w:b w:val="0"/>
          <w:i w:val="0"/>
          <w:sz w:val="21"/>
        </w:rPr>
        <w:t>Quarterly: census, revenue, EBITDA, cash, and progress vs plan - the same one-page dashboard management uses. Annual financials prepared by our CPA.</w:t>
      </w:r>
    </w:p>
    <w:p>
      <w:pPr>
        <w:spacing w:before="160"/>
      </w:pPr>
      <w:r>
        <w:rPr>
          <w:b/>
          <w:color w:val="1F3A5F"/>
          <w:sz w:val="22"/>
        </w:rPr>
        <w:t>Who else is in?</w:t>
      </w:r>
    </w:p>
    <w:p>
      <w:r>
        <w:rPr>
          <w:b w:val="0"/>
          <w:i w:val="0"/>
          <w:sz w:val="21"/>
        </w:rPr>
        <w:t>Founding capital of $250,000 is committed - anchor investor James E. Bullard plus the founder. The leadership team holds equity that vests only on performance.</w:t>
      </w:r>
    </w:p>
    <w:p>
      <w:pPr>
        <w:spacing w:before="160"/>
      </w:pPr>
      <w:r>
        <w:rPr>
          <w:b/>
          <w:color w:val="1F3A5F"/>
          <w:sz w:val="22"/>
        </w:rPr>
        <w:t>Who runs the company?</w:t>
      </w:r>
    </w:p>
    <w:p>
      <w:r>
        <w:rPr>
          <w:b w:val="0"/>
          <w:i w:val="0"/>
          <w:sz w:val="21"/>
        </w:rPr>
        <w:t>Geoff Schackmann is the manager and largest owner, with a decade-plus operating hospice in East Texas. The clinical and sales leadership all come from the same market and book of relationships.</w:t>
      </w:r>
    </w:p>
    <w:p>
      <w:pPr>
        <w:spacing w:before="160"/>
      </w:pPr>
      <w:r>
        <w:rPr>
          <w:b/>
          <w:color w:val="1F3A5F"/>
          <w:sz w:val="22"/>
        </w:rPr>
        <w:t>What are the real risks?</w:t>
      </w:r>
    </w:p>
    <w:p>
      <w:r>
        <w:rPr>
          <w:b w:val="0"/>
          <w:i w:val="0"/>
          <w:sz w:val="21"/>
        </w:rPr>
        <w:t>Slower census, Medicare payment timing after the ownership change (first claims can be held 30-60 days - our plan assumes it), regulatory surveys, and illiquidity: there is no market for these notes and you should plan to hold to maturity.</w:t>
      </w:r>
    </w:p>
    <w:p>
      <w:pPr>
        <w:spacing w:before="160"/>
      </w:pPr>
      <w:r>
        <w:rPr>
          <w:b/>
          <w:color w:val="1F3A5F"/>
          <w:sz w:val="22"/>
        </w:rPr>
        <w:t>Am I eligible to invest?</w:t>
      </w:r>
    </w:p>
    <w:p>
      <w:r>
        <w:rPr>
          <w:b w:val="0"/>
          <w:i w:val="0"/>
          <w:sz w:val="21"/>
        </w:rPr>
        <w:t>This is a private placement for accredited investors (income $200K+/yr, $300K joint, or $1M+ net worth excluding your home). You'll complete a short questionnaire; if you refer patients to hospice professionally, tell us up front - healthcare law restricts investments from referral sources and our counsel must clear it.</w:t>
      </w:r>
    </w:p>
    <w:p>
      <w:r>
        <w:rPr>
          <w:b w:val="0"/>
          <w:i w:val="0"/>
          <w:sz w:val="21"/>
        </w:rPr>
      </w:r>
    </w:p>
    <w:p>
      <w:r>
        <w:rPr>
          <w:b w:val="0"/>
          <w:i/>
          <w:color w:val="6B6B6B"/>
          <w:sz w:val="17"/>
        </w:rPr>
        <w:t>Not an offer to sell securities. Offer made only through definitive documents to accredited investors under Regulation D. Consult your own advisors.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