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80"/>
      </w:pPr>
      <w:r>
        <w:rPr>
          <w:b/>
          <w:color w:val="1F3864"/>
          <w:sz w:val="30"/>
        </w:rPr>
        <w:t>AZALEA HOSPICE &amp; PALLIATIVE CARE</w:t>
      </w:r>
    </w:p>
    <w:p>
      <w:r>
        <w:rPr>
          <w:b/>
          <w:i w:val="0"/>
          <w:color w:val="1F3864"/>
          <w:sz w:val="26"/>
        </w:rPr>
        <w:t>Business Plan - SBA 7(a) Application</w:t>
      </w:r>
    </w:p>
    <w:p>
      <w:r>
        <w:rPr>
          <w:b w:val="0"/>
          <w:i w:val="0"/>
          <w:color w:val="606060"/>
          <w:sz w:val="20"/>
        </w:rPr>
        <w:t>Tyler Hospice Hold, LLC, operating as Azalea Hospice &amp; Palliative Care</w:t>
      </w:r>
    </w:p>
    <w:p>
      <w:r>
        <w:rPr>
          <w:b w:val="0"/>
          <w:i w:val="0"/>
          <w:color w:val="606060"/>
          <w:sz w:val="18"/>
        </w:rPr>
        <w:t>dba Azalea Hospice &amp; Palliative Care - EIN 41-4966640 - Wyoming holding company acquiring Avant Hospice, LLC (Texas)</w:t>
      </w:r>
    </w:p>
    <w:p>
      <w:r>
        <w:rPr>
          <w:b w:val="0"/>
          <w:i/>
          <w:color w:val="606060"/>
          <w:sz w:val="18"/>
        </w:rPr>
        <w:t>Rev. 6.00 - July 2026  (supersedes Rev 5.00 dated June 2026; acquisition target changed to Avant Hospice, LLC at $300,000, seller-financed to the month-2 SBA takeout, and all financials reconciled to the Rev 5.00 AVANT dynamic proforma)</w:t>
      </w:r>
    </w:p>
    <w:p>
      <w:r>
        <w:rPr>
          <w:b w:val="0"/>
          <w:i w:val="0"/>
          <w:sz w:val="21"/>
        </w:rPr>
      </w:r>
    </w:p>
    <w:p>
      <w:r>
        <w:rPr>
          <w:b w:val="0"/>
          <w:i w:val="0"/>
          <w:sz w:val="21"/>
        </w:rPr>
        <w:t>Acquisition of Avant Hospice, LLC - a Texas Medicare-certified hospice and ready to bill from day one - operating as Azalea Hospice &amp; Palliative Care, led by an experienced East-Texas clinical team returning to a census level it has operated at before in this market.</w:t>
      </w:r>
    </w:p>
    <w:p>
      <w:r>
        <w:rPr>
          <w:b w:val="0"/>
          <w:i w:val="0"/>
          <w:sz w:val="21"/>
        </w:rPr>
      </w:r>
    </w:p>
    <w:p>
      <w:pPr>
        <w:pStyle w:val="Heading2"/>
        <w:keepNext/>
        <w:spacing w:before="160" w:after="40"/>
      </w:pPr>
      <w:r>
        <w:rPr>
          <w:b/>
          <w:color w:val="1F3864"/>
          <w:sz w:val="23"/>
        </w:rPr>
        <w:t>Headline metrics</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2304"/>
          </w:tcPr>
          <w:p>
            <w:r/>
            <w:r>
              <w:rPr>
                <w:b/>
                <w:sz w:val="19"/>
              </w:rPr>
              <w:t>Metric</w:t>
            </w:r>
          </w:p>
        </w:tc>
        <w:tc>
          <w:tcPr>
            <w:tcW w:type="dxa" w:w="1872"/>
          </w:tcPr>
          <w:p>
            <w:r/>
            <w:r>
              <w:rPr>
                <w:b/>
                <w:sz w:val="19"/>
              </w:rPr>
              <w:t>Value</w:t>
            </w:r>
          </w:p>
        </w:tc>
        <w:tc>
          <w:tcPr>
            <w:tcW w:type="dxa" w:w="5184"/>
          </w:tcPr>
          <w:p>
            <w:r/>
            <w:r>
              <w:rPr>
                <w:b/>
                <w:sz w:val="19"/>
              </w:rPr>
              <w:t>Detail</w:t>
            </w:r>
          </w:p>
        </w:tc>
      </w:tr>
      <w:tr>
        <w:tc>
          <w:tcPr>
            <w:tcW w:type="dxa" w:w="2304"/>
          </w:tcPr>
          <w:p>
            <w:r/>
            <w:r>
              <w:rPr>
                <w:sz w:val="19"/>
              </w:rPr>
              <w:t>SBA loan request</w:t>
            </w:r>
          </w:p>
        </w:tc>
        <w:tc>
          <w:tcPr>
            <w:tcW w:type="dxa" w:w="1872"/>
          </w:tcPr>
          <w:p>
            <w:r/>
            <w:r>
              <w:rPr>
                <w:sz w:val="19"/>
              </w:rPr>
              <w:t>$500,000</w:t>
            </w:r>
          </w:p>
        </w:tc>
        <w:tc>
          <w:tcPr>
            <w:tcW w:type="dxa" w:w="5184"/>
          </w:tcPr>
          <w:p>
            <w:r/>
            <w:r>
              <w:rPr>
                <w:sz w:val="19"/>
              </w:rPr>
              <w:t>Single SBA 7(a) loan - funds at month 2 (license 100% in borrower name from CHOW close), retiring the deferred seller note (~$303,000) and funding ramp working capital</w:t>
            </w:r>
          </w:p>
        </w:tc>
      </w:tr>
      <w:tr>
        <w:tc>
          <w:tcPr>
            <w:tcW w:type="dxa" w:w="2304"/>
          </w:tcPr>
          <w:p>
            <w:r/>
            <w:r>
              <w:rPr>
                <w:sz w:val="19"/>
              </w:rPr>
              <w:t>Purchase price</w:t>
            </w:r>
          </w:p>
        </w:tc>
        <w:tc>
          <w:tcPr>
            <w:tcW w:type="dxa" w:w="1872"/>
          </w:tcPr>
          <w:p>
            <w:r/>
            <w:r>
              <w:rPr>
                <w:sz w:val="19"/>
              </w:rPr>
              <w:t>$300,000</w:t>
            </w:r>
          </w:p>
        </w:tc>
        <w:tc>
          <w:tcPr>
            <w:tcW w:type="dxa" w:w="5184"/>
          </w:tcPr>
          <w:p>
            <w:r/>
            <w:r>
              <w:rPr>
                <w:sz w:val="19"/>
              </w:rPr>
              <w:t>Avant Hospice, LLC - Medicare-certified (CMS CCN 741798, NPI 1699350090; TX license 020708); terms confirmed 5/5/2026, all payments deferred until prepayment review clears</w:t>
            </w:r>
          </w:p>
        </w:tc>
      </w:tr>
      <w:tr>
        <w:tc>
          <w:tcPr>
            <w:tcW w:type="dxa" w:w="2304"/>
          </w:tcPr>
          <w:p>
            <w:r/>
            <w:r>
              <w:rPr>
                <w:sz w:val="19"/>
              </w:rPr>
              <w:t>Total project</w:t>
            </w:r>
          </w:p>
        </w:tc>
        <w:tc>
          <w:tcPr>
            <w:tcW w:type="dxa" w:w="1872"/>
          </w:tcPr>
          <w:p>
            <w:r/>
            <w:r>
              <w:rPr>
                <w:sz w:val="19"/>
              </w:rPr>
              <w:t>$750,000</w:t>
            </w:r>
          </w:p>
        </w:tc>
        <w:tc>
          <w:tcPr>
            <w:tcW w:type="dxa" w:w="5184"/>
          </w:tcPr>
          <w:p>
            <w:r/>
            <w:r>
              <w:rPr>
                <w:sz w:val="19"/>
              </w:rPr>
              <w:t>$500K SBA loan + $250K cash equity injection</w:t>
            </w:r>
          </w:p>
        </w:tc>
      </w:tr>
      <w:tr>
        <w:tc>
          <w:tcPr>
            <w:tcW w:type="dxa" w:w="2304"/>
          </w:tcPr>
          <w:p>
            <w:r/>
            <w:r>
              <w:rPr>
                <w:sz w:val="19"/>
              </w:rPr>
              <w:t>Year-1 EBITDA</w:t>
            </w:r>
          </w:p>
        </w:tc>
        <w:tc>
          <w:tcPr>
            <w:tcW w:type="dxa" w:w="1872"/>
          </w:tcPr>
          <w:p>
            <w:r/>
            <w:r>
              <w:rPr>
                <w:sz w:val="19"/>
              </w:rPr>
              <w:t>$299,195</w:t>
            </w:r>
          </w:p>
        </w:tc>
        <w:tc>
          <w:tcPr>
            <w:tcW w:type="dxa" w:w="5184"/>
          </w:tcPr>
          <w:p>
            <w:r/>
            <w:r>
              <w:rPr>
                <w:sz w:val="19"/>
              </w:rPr>
              <w:t>15.5% margin, before debt service - growing to $985,429 (28.2%) by Year 3; month-12 margin 22.3%</w:t>
            </w:r>
          </w:p>
        </w:tc>
      </w:tr>
      <w:tr>
        <w:tc>
          <w:tcPr>
            <w:tcW w:type="dxa" w:w="2304"/>
          </w:tcPr>
          <w:p>
            <w:r/>
            <w:r>
              <w:rPr>
                <w:sz w:val="19"/>
              </w:rPr>
              <w:t>Break-even census</w:t>
            </w:r>
          </w:p>
        </w:tc>
        <w:tc>
          <w:tcPr>
            <w:tcW w:type="dxa" w:w="1872"/>
          </w:tcPr>
          <w:p>
            <w:r/>
            <w:r>
              <w:rPr>
                <w:sz w:val="19"/>
              </w:rPr>
              <w:t>~17-18 patients</w:t>
            </w:r>
          </w:p>
        </w:tc>
        <w:tc>
          <w:tcPr>
            <w:tcW w:type="dxa" w:w="5184"/>
          </w:tcPr>
          <w:p>
            <w:r/>
            <w:r>
              <w:rPr>
                <w:sz w:val="19"/>
              </w:rPr>
              <w:t>Crossed in month 2 of the ramp</w:t>
            </w:r>
          </w:p>
        </w:tc>
      </w:tr>
      <w:tr>
        <w:tc>
          <w:tcPr>
            <w:tcW w:type="dxa" w:w="2304"/>
          </w:tcPr>
          <w:p>
            <w:r/>
            <w:r>
              <w:rPr>
                <w:sz w:val="19"/>
              </w:rPr>
              <w:t>Equity injection</w:t>
            </w:r>
          </w:p>
        </w:tc>
        <w:tc>
          <w:tcPr>
            <w:tcW w:type="dxa" w:w="1872"/>
          </w:tcPr>
          <w:p>
            <w:r/>
            <w:r>
              <w:rPr>
                <w:sz w:val="19"/>
              </w:rPr>
              <w:t>$250,000</w:t>
            </w:r>
          </w:p>
        </w:tc>
        <w:tc>
          <w:tcPr>
            <w:tcW w:type="dxa" w:w="5184"/>
          </w:tcPr>
          <w:p>
            <w:r/>
            <w:r>
              <w:rPr>
                <w:sz w:val="19"/>
              </w:rPr>
              <w:t>33% of project (Bullard $195K + Schackmann $55K) - well above the 10% SOP 50 10 8 minimum</w:t>
            </w:r>
          </w:p>
        </w:tc>
      </w:tr>
    </w:tbl>
    <w:p>
      <w:r>
        <w:rPr>
          <w:b w:val="0"/>
          <w:i/>
          <w:color w:val="606060"/>
          <w:sz w:val="16"/>
        </w:rPr>
        <w:t>Confidential - prepared exclusively for the SBA 7(a) loan application. All figures are computed from the Rev 5.00 AVANT dynamic proforma (Azalea_Hospice_Proforma_Rev5.00_AVANT.xlsx). Do not distribute without written consent.</w:t>
      </w:r>
    </w:p>
    <w:p>
      <w:r>
        <w:br w:type="page"/>
      </w:r>
    </w:p>
    <w:p>
      <w:pPr>
        <w:pStyle w:val="Heading1"/>
        <w:keepNext/>
        <w:spacing w:after="80"/>
      </w:pPr>
      <w:r>
        <w:rPr>
          <w:b/>
          <w:color w:val="1F3864"/>
          <w:sz w:val="30"/>
        </w:rPr>
        <w:t>Table of Contents</w:t>
      </w:r>
    </w:p>
    <w:p>
      <w:r>
        <w:fldChar w:fldCharType="begin"/>
        <w:instrText xml:space="preserve">TOC \o "1-2" \h \z \u</w:instrText>
        <w:fldChar w:fldCharType="end"/>
      </w:r>
    </w:p>
    <w:p>
      <w:r>
        <w:rPr>
          <w:i/>
          <w:sz w:val="16"/>
        </w:rPr>
        <w:t>(Table of contents - in Word: right-click the field and choose Update Field, or press F9.)</w:t>
      </w:r>
    </w:p>
    <w:p>
      <w:r>
        <w:br w:type="page"/>
      </w:r>
    </w:p>
    <w:p>
      <w:pPr>
        <w:pStyle w:val="Heading1"/>
        <w:keepNext/>
        <w:spacing w:after="80"/>
      </w:pPr>
      <w:r>
        <w:rPr>
          <w:b/>
          <w:color w:val="1F3864"/>
          <w:sz w:val="30"/>
        </w:rPr>
        <w:t>01 - Executive Summary</w:t>
      </w:r>
    </w:p>
    <w:p>
      <w:pPr>
        <w:pStyle w:val="Heading2"/>
        <w:keepNext/>
        <w:spacing w:before="160" w:after="40"/>
      </w:pPr>
      <w:r>
        <w:rPr>
          <w:b/>
          <w:color w:val="1F3864"/>
          <w:sz w:val="23"/>
        </w:rPr>
        <w:t>Loan request</w:t>
      </w:r>
    </w:p>
    <w:p>
      <w:r>
        <w:rPr>
          <w:b w:val="0"/>
          <w:i w:val="0"/>
          <w:sz w:val="21"/>
        </w:rPr>
        <w:t>Tyler Hospice Hold, LLC requests a $500,000 SBA 7(a) loan to complete the acquisition of Avant Hospice, LLC - a Texas Medicare-certified hospice (CMS CCN 741798, NPI 1699350090, TX HHSC license 020708) - and to fund working capital through the census ramp, operating as Azalea Hospice &amp; Palliative Care. The $300,000 purchase transfers 100% of the membership interests at CHOW approval, so the license is fully in the borrower name from day one - no split closing and no waiting period before SBA funding. The seller (Kimberly Carlisle, sole member) carries the entire balance at 6% simple interest with no down payment and no installments; all payments are deferred until Medicare prepayment review clears. The SBA loan funds at month 2 and retires the seller note in full (~$303,000 including accrued interest), converting deferred seller financing into permanent SBA financing at the earliest lawful point. The loan is paired with a $250,000 cash equity injection for a total project of $750,000 (a 33% injection). Once the seller note is retired, the business carries a single debt: the SBA loan at approximately $6,747 per month.</w:t>
      </w:r>
    </w:p>
    <w:p>
      <w:pPr>
        <w:pStyle w:val="Heading2"/>
        <w:keepNext/>
        <w:spacing w:before="160" w:after="40"/>
      </w:pPr>
      <w:r>
        <w:rPr>
          <w:b/>
          <w:color w:val="1F3864"/>
          <w:sz w:val="23"/>
        </w:rPr>
        <w:t>Use of funds</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3600"/>
          </w:tcPr>
          <w:p>
            <w:r/>
            <w:r>
              <w:rPr>
                <w:b/>
                <w:sz w:val="19"/>
              </w:rPr>
              <w:t>Use</w:t>
            </w:r>
          </w:p>
        </w:tc>
        <w:tc>
          <w:tcPr>
            <w:tcW w:type="dxa" w:w="1584"/>
          </w:tcPr>
          <w:p>
            <w:r/>
            <w:r>
              <w:rPr>
                <w:b/>
                <w:sz w:val="19"/>
              </w:rPr>
              <w:t>Amount</w:t>
            </w:r>
          </w:p>
        </w:tc>
        <w:tc>
          <w:tcPr>
            <w:tcW w:type="dxa" w:w="4176"/>
          </w:tcPr>
          <w:p>
            <w:r/>
            <w:r>
              <w:rPr>
                <w:b/>
                <w:sz w:val="19"/>
              </w:rPr>
              <w:t>Detail</w:t>
            </w:r>
          </w:p>
        </w:tc>
      </w:tr>
      <w:tr>
        <w:tc>
          <w:tcPr>
            <w:tcW w:type="dxa" w:w="3600"/>
          </w:tcPr>
          <w:p>
            <w:r/>
            <w:r>
              <w:rPr>
                <w:sz w:val="19"/>
              </w:rPr>
              <w:t>Acquisition of Avant Hospice, LLC</w:t>
            </w:r>
          </w:p>
        </w:tc>
        <w:tc>
          <w:tcPr>
            <w:tcW w:type="dxa" w:w="1584"/>
          </w:tcPr>
          <w:p>
            <w:r/>
            <w:r>
              <w:rPr>
                <w:sz w:val="19"/>
              </w:rPr>
              <w:t>$300,000</w:t>
            </w:r>
          </w:p>
        </w:tc>
        <w:tc>
          <w:tcPr>
            <w:tcW w:type="dxa" w:w="4176"/>
          </w:tcPr>
          <w:p>
            <w:r/>
            <w:r>
              <w:rPr>
                <w:sz w:val="19"/>
              </w:rPr>
              <w:t>100% of membership interests at CHOW approval; no down payment; seller carries the balance at 6% fully deferred; note retired by SBA proceeds at month-2 funding (~$303,000 incl. accrued interest)</w:t>
            </w:r>
          </w:p>
        </w:tc>
      </w:tr>
      <w:tr>
        <w:tc>
          <w:tcPr>
            <w:tcW w:type="dxa" w:w="3600"/>
          </w:tcPr>
          <w:p>
            <w:r/>
            <w:r>
              <w:rPr>
                <w:sz w:val="19"/>
              </w:rPr>
              <w:t>Closing and startup costs</w:t>
            </w:r>
          </w:p>
        </w:tc>
        <w:tc>
          <w:tcPr>
            <w:tcW w:type="dxa" w:w="1584"/>
          </w:tcPr>
          <w:p>
            <w:r/>
            <w:r>
              <w:rPr>
                <w:sz w:val="19"/>
              </w:rPr>
              <w:t>$15,000</w:t>
            </w:r>
          </w:p>
        </w:tc>
        <w:tc>
          <w:tcPr>
            <w:tcW w:type="dxa" w:w="4176"/>
          </w:tcPr>
          <w:p>
            <w:r/>
            <w:r>
              <w:rPr>
                <w:sz w:val="19"/>
              </w:rPr>
              <w:t>Legal, licensure filings, EMR setup, initial supplies</w:t>
            </w:r>
          </w:p>
        </w:tc>
      </w:tr>
      <w:tr>
        <w:tc>
          <w:tcPr>
            <w:tcW w:type="dxa" w:w="3600"/>
          </w:tcPr>
          <w:p>
            <w:r/>
            <w:r>
              <w:rPr>
                <w:sz w:val="19"/>
              </w:rPr>
              <w:t>Working-capital reserve</w:t>
            </w:r>
          </w:p>
        </w:tc>
        <w:tc>
          <w:tcPr>
            <w:tcW w:type="dxa" w:w="1584"/>
          </w:tcPr>
          <w:p>
            <w:r/>
            <w:r>
              <w:rPr>
                <w:sz w:val="19"/>
              </w:rPr>
              <w:t>$435,000</w:t>
            </w:r>
          </w:p>
        </w:tc>
        <w:tc>
          <w:tcPr>
            <w:tcW w:type="dxa" w:w="4176"/>
          </w:tcPr>
          <w:p>
            <w:r/>
            <w:r>
              <w:rPr>
                <w:sz w:val="19"/>
              </w:rPr>
              <w:t>Funds ramp payroll ahead of the Medicare payment lag AND the prepayment-review hold on first claims (base 2 months, downside 4 - the target has never billed)</w:t>
            </w:r>
          </w:p>
        </w:tc>
      </w:tr>
      <w:tr>
        <w:tc>
          <w:tcPr>
            <w:tcW w:type="dxa" w:w="3600"/>
          </w:tcPr>
          <w:p>
            <w:r/>
            <w:r>
              <w:rPr>
                <w:sz w:val="19"/>
              </w:rPr>
              <w:t>Total uses</w:t>
            </w:r>
          </w:p>
        </w:tc>
        <w:tc>
          <w:tcPr>
            <w:tcW w:type="dxa" w:w="1584"/>
          </w:tcPr>
          <w:p>
            <w:r/>
            <w:r>
              <w:rPr>
                <w:sz w:val="19"/>
              </w:rPr>
              <w:t>$750,000</w:t>
            </w:r>
          </w:p>
        </w:tc>
        <w:tc>
          <w:tcPr>
            <w:tcW w:type="dxa" w:w="4176"/>
          </w:tcPr>
          <w:p>
            <w:r/>
            <w:r>
              <w:rPr>
                <w:sz w:val="19"/>
              </w:rPr>
              <w:t>Funded by SBA $500K + equity $250K</w:t>
            </w:r>
          </w:p>
        </w:tc>
      </w:tr>
    </w:tbl>
    <w:p>
      <w:pPr>
        <w:pStyle w:val="Heading2"/>
        <w:keepNext/>
        <w:spacing w:before="160" w:after="40"/>
      </w:pPr>
      <w:r>
        <w:rPr>
          <w:b/>
          <w:color w:val="1F3864"/>
          <w:sz w:val="23"/>
        </w:rPr>
        <w:t>Business overview</w:t>
      </w:r>
    </w:p>
    <w:p>
      <w:r>
        <w:rPr>
          <w:b w:val="0"/>
          <w:i w:val="0"/>
          <w:sz w:val="21"/>
        </w:rPr>
        <w:t>Azalea launches the acquired Avant agency in the Tyler / Smith County market (CBSA 46340) under an experienced local team with established referral relationships. Avant holds a Texas Medicare hospice certification - a scarce license position under the CMS nationwide hospice enrollment moratorium, which blocks new entrants. Census builds from the team's referral pipeline to 24 patients by month 2, 34 by month 6, and 40 by month 12, reaching 50 by month 24 and 56 by month 36 - a return to census levels the team has operated at before in this market. Revenue is Medicare Routine Home Care per-diem at a blended net rate of approximately $172 per patient-day after sequestration and billing fees.</w:t>
      </w:r>
    </w:p>
    <w:p>
      <w:pPr>
        <w:pStyle w:val="Heading2"/>
        <w:keepNext/>
        <w:spacing w:before="160" w:after="40"/>
      </w:pPr>
      <w:r>
        <w:rPr>
          <w:b/>
          <w:color w:val="1F3864"/>
          <w:sz w:val="23"/>
        </w:rPr>
        <w:t>Management team</w:t>
      </w:r>
    </w:p>
    <w:p>
      <w:r>
        <w:rPr>
          <w:b w:val="0"/>
          <w:i w:val="0"/>
          <w:sz w:val="21"/>
        </w:rPr>
        <w:t>Azalea is led by an already-seated team: Geoff Schackmann (Manager - multi-hospice operator), Silas Shelton (Administrator / Executive Director), Dana Davenport (Director of Nursing), and Bradley Woodard (Community Liaison / Director of Sales - 25+ years East-Texas hospice business development), supported by RN case managers, hospice aides, a PRN visit pool, and 1099 Medical Directors. Officer salaries are separately stated in the projections: Administrator $150,000, Director of Nursing $120,000, Community Liaison $120,000, Office Manager $60,000.</w:t>
      </w:r>
    </w:p>
    <w:p>
      <w:pPr>
        <w:pStyle w:val="Heading2"/>
        <w:keepNext/>
        <w:spacing w:before="160" w:after="40"/>
      </w:pPr>
      <w:r>
        <w:rPr>
          <w:b/>
          <w:color w:val="1F3864"/>
          <w:sz w:val="23"/>
        </w:rPr>
        <w:t>Repayment case</w:t>
      </w:r>
    </w:p>
    <w:tbl>
      <w:tblPr>
        <w:tblStyle w:val="LightGrid-Accent1"/>
        <w:tblW w:type="auto" w:w="0"/>
        <w:jc w:val="left"/>
        <w:tblLook w:firstColumn="1" w:firstRow="1" w:lastColumn="0" w:lastRow="0" w:noHBand="0" w:noVBand="1" w:val="04A0"/>
      </w:tblPr>
      <w:tblGrid>
        <w:gridCol w:w="2160"/>
        <w:gridCol w:w="2160"/>
        <w:gridCol w:w="2160"/>
        <w:gridCol w:w="2160"/>
      </w:tblGrid>
      <w:tr>
        <w:trPr>
          <w:tblHeader w:val="true"/>
        </w:trPr>
        <w:tc>
          <w:tcPr>
            <w:tcW w:type="dxa" w:w="3168"/>
          </w:tcPr>
          <w:p>
            <w:r/>
            <w:r>
              <w:rPr>
                <w:b/>
                <w:sz w:val="19"/>
              </w:rPr>
            </w:r>
          </w:p>
        </w:tc>
        <w:tc>
          <w:tcPr>
            <w:tcW w:type="dxa" w:w="2016"/>
          </w:tcPr>
          <w:p>
            <w:r/>
            <w:r>
              <w:rPr>
                <w:b/>
                <w:sz w:val="19"/>
              </w:rPr>
              <w:t>Year 1</w:t>
            </w:r>
          </w:p>
        </w:tc>
        <w:tc>
          <w:tcPr>
            <w:tcW w:type="dxa" w:w="2016"/>
          </w:tcPr>
          <w:p>
            <w:r/>
            <w:r>
              <w:rPr>
                <w:b/>
                <w:sz w:val="19"/>
              </w:rPr>
              <w:t>Year 2</w:t>
            </w:r>
          </w:p>
        </w:tc>
        <w:tc>
          <w:tcPr>
            <w:tcW w:type="dxa" w:w="2016"/>
          </w:tcPr>
          <w:p>
            <w:r/>
            <w:r>
              <w:rPr>
                <w:b/>
                <w:sz w:val="19"/>
              </w:rPr>
              <w:t>Year 3</w:t>
            </w:r>
          </w:p>
        </w:tc>
      </w:tr>
      <w:tr>
        <w:tc>
          <w:tcPr>
            <w:tcW w:type="dxa" w:w="3168"/>
          </w:tcPr>
          <w:p>
            <w:r/>
            <w:r>
              <w:rPr>
                <w:sz w:val="19"/>
              </w:rPr>
              <w:t>Net patient revenue</w:t>
            </w:r>
          </w:p>
        </w:tc>
        <w:tc>
          <w:tcPr>
            <w:tcW w:type="dxa" w:w="2016"/>
          </w:tcPr>
          <w:p>
            <w:r/>
            <w:r>
              <w:rPr>
                <w:sz w:val="19"/>
              </w:rPr>
              <w:t>$1,932,877</w:t>
            </w:r>
          </w:p>
        </w:tc>
        <w:tc>
          <w:tcPr>
            <w:tcW w:type="dxa" w:w="2016"/>
          </w:tcPr>
          <w:p>
            <w:r/>
            <w:r>
              <w:rPr>
                <w:sz w:val="19"/>
              </w:rPr>
              <w:t>$2,891,641</w:t>
            </w:r>
          </w:p>
        </w:tc>
        <w:tc>
          <w:tcPr>
            <w:tcW w:type="dxa" w:w="2016"/>
          </w:tcPr>
          <w:p>
            <w:r/>
            <w:r>
              <w:rPr>
                <w:sz w:val="19"/>
              </w:rPr>
              <w:t>$3,490,623</w:t>
            </w:r>
          </w:p>
        </w:tc>
      </w:tr>
      <w:tr>
        <w:tc>
          <w:tcPr>
            <w:tcW w:type="dxa" w:w="3168"/>
          </w:tcPr>
          <w:p>
            <w:r/>
            <w:r>
              <w:rPr>
                <w:sz w:val="19"/>
              </w:rPr>
              <w:t>EBITDA (before debt service)</w:t>
            </w:r>
          </w:p>
        </w:tc>
        <w:tc>
          <w:tcPr>
            <w:tcW w:type="dxa" w:w="2016"/>
          </w:tcPr>
          <w:p>
            <w:r/>
            <w:r>
              <w:rPr>
                <w:sz w:val="19"/>
              </w:rPr>
              <w:t>$299,195</w:t>
            </w:r>
          </w:p>
        </w:tc>
        <w:tc>
          <w:tcPr>
            <w:tcW w:type="dxa" w:w="2016"/>
          </w:tcPr>
          <w:p>
            <w:r/>
            <w:r>
              <w:rPr>
                <w:sz w:val="19"/>
              </w:rPr>
              <w:t>$695,981</w:t>
            </w:r>
          </w:p>
        </w:tc>
        <w:tc>
          <w:tcPr>
            <w:tcW w:type="dxa" w:w="2016"/>
          </w:tcPr>
          <w:p>
            <w:r/>
            <w:r>
              <w:rPr>
                <w:sz w:val="19"/>
              </w:rPr>
              <w:t>$985,429</w:t>
            </w:r>
          </w:p>
        </w:tc>
      </w:tr>
      <w:tr>
        <w:tc>
          <w:tcPr>
            <w:tcW w:type="dxa" w:w="3168"/>
          </w:tcPr>
          <w:p>
            <w:r/>
            <w:r>
              <w:rPr>
                <w:sz w:val="19"/>
              </w:rPr>
              <w:t>EBITDA margin</w:t>
            </w:r>
          </w:p>
        </w:tc>
        <w:tc>
          <w:tcPr>
            <w:tcW w:type="dxa" w:w="2016"/>
          </w:tcPr>
          <w:p>
            <w:r/>
            <w:r>
              <w:rPr>
                <w:sz w:val="19"/>
              </w:rPr>
              <w:t>15.5%</w:t>
            </w:r>
          </w:p>
        </w:tc>
        <w:tc>
          <w:tcPr>
            <w:tcW w:type="dxa" w:w="2016"/>
          </w:tcPr>
          <w:p>
            <w:r/>
            <w:r>
              <w:rPr>
                <w:sz w:val="19"/>
              </w:rPr>
              <w:t>24.1%</w:t>
            </w:r>
          </w:p>
        </w:tc>
        <w:tc>
          <w:tcPr>
            <w:tcW w:type="dxa" w:w="2016"/>
          </w:tcPr>
          <w:p>
            <w:r/>
            <w:r>
              <w:rPr>
                <w:sz w:val="19"/>
              </w:rPr>
              <w:t>28.2%</w:t>
            </w:r>
          </w:p>
        </w:tc>
      </w:tr>
      <w:tr>
        <w:tc>
          <w:tcPr>
            <w:tcW w:type="dxa" w:w="3168"/>
          </w:tcPr>
          <w:p>
            <w:r/>
            <w:r>
              <w:rPr>
                <w:sz w:val="19"/>
              </w:rPr>
              <w:t>Net income</w:t>
            </w:r>
          </w:p>
        </w:tc>
        <w:tc>
          <w:tcPr>
            <w:tcW w:type="dxa" w:w="2016"/>
          </w:tcPr>
          <w:p>
            <w:r/>
            <w:r>
              <w:rPr>
                <w:sz w:val="19"/>
              </w:rPr>
              <w:t>$130,630</w:t>
            </w:r>
          </w:p>
        </w:tc>
        <w:tc>
          <w:tcPr>
            <w:tcW w:type="dxa" w:w="2016"/>
          </w:tcPr>
          <w:p>
            <w:r/>
            <w:r>
              <w:rPr>
                <w:sz w:val="19"/>
              </w:rPr>
              <w:t>$472,185</w:t>
            </w:r>
          </w:p>
        </w:tc>
        <w:tc>
          <w:tcPr>
            <w:tcW w:type="dxa" w:w="2016"/>
          </w:tcPr>
          <w:p>
            <w:r/>
            <w:r>
              <w:rPr>
                <w:sz w:val="19"/>
              </w:rPr>
              <w:t>$733,029</w:t>
            </w:r>
          </w:p>
        </w:tc>
      </w:tr>
    </w:tbl>
    <w:p>
      <w:r>
        <w:rPr>
          <w:b w:val="0"/>
          <w:i w:val="0"/>
          <w:sz w:val="21"/>
        </w:rPr>
        <w:t>The operation crosses break-even census (~17-18 patients) in month 2 and reaches a 22.3% EBITDA margin by month 12. Debt service is modeled exactly as sequenced: nothing at all until the SBA funds at month 2 (the seller note is fully deferred), then a single SBA 7(a) payment of approximately $6,747 per month ($80,961 per year). EBITDA covers annualized recurring debt service 3.7x in Year 1, 8.6x in Year 2, and 12.2x in Year 3; the global 3-year coverage is 3.7x even including the one-time month-2 seller takeout, against the 1.25x floor. A separate 5% of net patient revenue contingency is deducted below EBITDA in the cash flow, and the working-capital plan (owner salary deferral to break-even census, staged clinical hiring, and a $435,000 reserve sized for prepayment review) keeps cash positive in the base case with no revolver or assumed facility anywhere in the model.</w:t>
      </w:r>
    </w:p>
    <w:p>
      <w:r>
        <w:br w:type="page"/>
      </w:r>
    </w:p>
    <w:p>
      <w:pPr>
        <w:pStyle w:val="Heading1"/>
        <w:keepNext/>
        <w:spacing w:after="80"/>
      </w:pPr>
      <w:r>
        <w:rPr>
          <w:b/>
          <w:color w:val="1F3864"/>
          <w:sz w:val="30"/>
        </w:rPr>
        <w:t>02 - Company Description</w:t>
      </w:r>
    </w:p>
    <w:p>
      <w:pPr>
        <w:pStyle w:val="Heading2"/>
        <w:keepNext/>
        <w:spacing w:before="160" w:after="40"/>
      </w:pPr>
      <w:r>
        <w:rPr>
          <w:b/>
          <w:color w:val="1F3864"/>
          <w:sz w:val="23"/>
        </w:rPr>
        <w:t>2.1 Legal structure</w:t>
      </w:r>
    </w:p>
    <w:p>
      <w:r>
        <w:rPr>
          <w:b w:val="0"/>
          <w:i w:val="0"/>
          <w:sz w:val="21"/>
        </w:rPr>
        <w:t>Tyler Hospice Hold, LLC is a Wyoming LLC (formed 2026; EIN 41-4966640), foreign-qualified to do business in Texas. As the borrower and holding entity, it is acquiring 100% of Avant Hospice, LLC - a Texas LLC, HCSSA-licensed (license 020708) and Medicare-certified (CMS CCN 741798, NPI 1699350090) - which will operate as Azalea Hospice &amp; Palliative Care. The purchase transfers 100% of the membership interests at CHOW approval, placing the license fully in the borrower name from day one - no split closing and no new-provider enrollment application. Because the agency has never submitted Medicare claims, its first claims enter a provisional period of enhanced oversight with prepayment review (42 CFR 424.527); the financial plan is expressly built around that review window. The Company elects S-corporation tax treatment under IRC Section 1361 (IRS Form 2553) for federal income tax purposes (filing Form 1120-S, single class of stock, pro-rata distributions); Avant Hospice, LLC is a disregarded entity (or QSub) of the S-corp.</w:t>
      </w:r>
    </w:p>
    <w:p>
      <w:pPr>
        <w:pStyle w:val="Heading2"/>
        <w:keepNext/>
        <w:spacing w:before="160" w:after="40"/>
      </w:pPr>
      <w:r>
        <w:rPr>
          <w:b/>
          <w:color w:val="1F3864"/>
          <w:sz w:val="23"/>
        </w:rPr>
        <w:t>2.2 Ownership &amp; capitalization</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3168"/>
          </w:tcPr>
          <w:p>
            <w:r/>
            <w:r>
              <w:rPr>
                <w:b/>
                <w:sz w:val="19"/>
              </w:rPr>
              <w:t>Member / source</w:t>
            </w:r>
          </w:p>
        </w:tc>
        <w:tc>
          <w:tcPr>
            <w:tcW w:type="dxa" w:w="1296"/>
          </w:tcPr>
          <w:p>
            <w:r/>
            <w:r>
              <w:rPr>
                <w:b/>
                <w:sz w:val="19"/>
              </w:rPr>
              <w:t>Interest</w:t>
            </w:r>
          </w:p>
        </w:tc>
        <w:tc>
          <w:tcPr>
            <w:tcW w:type="dxa" w:w="4896"/>
          </w:tcPr>
          <w:p>
            <w:r/>
            <w:r>
              <w:rPr>
                <w:b/>
                <w:sz w:val="19"/>
              </w:rPr>
              <w:t>Role &amp; structure</w:t>
            </w:r>
          </w:p>
        </w:tc>
      </w:tr>
      <w:tr>
        <w:tc>
          <w:tcPr>
            <w:tcW w:type="dxa" w:w="3168"/>
          </w:tcPr>
          <w:p>
            <w:r/>
            <w:r>
              <w:rPr>
                <w:sz w:val="19"/>
              </w:rPr>
              <w:t>Geoff Schackmann (individual)</w:t>
            </w:r>
          </w:p>
        </w:tc>
        <w:tc>
          <w:tcPr>
            <w:tcW w:type="dxa" w:w="1296"/>
          </w:tcPr>
          <w:p>
            <w:r/>
            <w:r>
              <w:rPr>
                <w:sz w:val="19"/>
              </w:rPr>
              <w:t>39.9%</w:t>
            </w:r>
          </w:p>
        </w:tc>
        <w:tc>
          <w:tcPr>
            <w:tcW w:type="dxa" w:w="4896"/>
          </w:tcPr>
          <w:p>
            <w:r/>
            <w:r>
              <w:rPr>
                <w:sz w:val="19"/>
              </w:rPr>
              <w:t>Manager - direct individual owner; 39.9% interest is Arizona community property (spouse Mary Elizabeth Burcham ~19.95% community-property interest, passive, under 20%); Geoff provides the SBA personal guaranty and contributes $55,000 of the equity injection</w:t>
            </w:r>
          </w:p>
        </w:tc>
      </w:tr>
      <w:tr>
        <w:tc>
          <w:tcPr>
            <w:tcW w:type="dxa" w:w="3168"/>
          </w:tcPr>
          <w:p>
            <w:r/>
            <w:r>
              <w:rPr>
                <w:sz w:val="19"/>
              </w:rPr>
              <w:t>James E. Bullard</w:t>
            </w:r>
          </w:p>
        </w:tc>
        <w:tc>
          <w:tcPr>
            <w:tcW w:type="dxa" w:w="1296"/>
          </w:tcPr>
          <w:p>
            <w:r/>
            <w:r>
              <w:rPr>
                <w:sz w:val="19"/>
              </w:rPr>
              <w:t>19.5%</w:t>
            </w:r>
          </w:p>
        </w:tc>
        <w:tc>
          <w:tcPr>
            <w:tcW w:type="dxa" w:w="4896"/>
          </w:tcPr>
          <w:p>
            <w:r/>
            <w:r>
              <w:rPr>
                <w:sz w:val="19"/>
              </w:rPr>
              <w:t>Passive minority investor - $195,000 cash capital contribution (first $100,000 wired 5/7/2026); protective minority rights only, no operational control; under 20%, no guaranty</w:t>
            </w:r>
          </w:p>
        </w:tc>
      </w:tr>
      <w:tr>
        <w:tc>
          <w:tcPr>
            <w:tcW w:type="dxa" w:w="3168"/>
          </w:tcPr>
          <w:p>
            <w:r/>
            <w:r>
              <w:rPr>
                <w:sz w:val="19"/>
              </w:rPr>
              <w:t>Silas R. Shelton</w:t>
            </w:r>
          </w:p>
        </w:tc>
        <w:tc>
          <w:tcPr>
            <w:tcW w:type="dxa" w:w="1296"/>
          </w:tcPr>
          <w:p>
            <w:r/>
            <w:r>
              <w:rPr>
                <w:sz w:val="19"/>
              </w:rPr>
              <w:t>13.3%</w:t>
            </w:r>
          </w:p>
        </w:tc>
        <w:tc>
          <w:tcPr>
            <w:tcW w:type="dxa" w:w="4896"/>
          </w:tcPr>
          <w:p>
            <w:r/>
            <w:r>
              <w:rPr>
                <w:sz w:val="19"/>
              </w:rPr>
              <w:t>Administrator / Executive Director - Restricted Interest (fully forfeitable; 4.9% time-vested base + 8.4% dual-trigger earn-up)</w:t>
            </w:r>
          </w:p>
        </w:tc>
      </w:tr>
      <w:tr>
        <w:tc>
          <w:tcPr>
            <w:tcW w:type="dxa" w:w="3168"/>
          </w:tcPr>
          <w:p>
            <w:r/>
            <w:r>
              <w:rPr>
                <w:sz w:val="19"/>
              </w:rPr>
              <w:t>Dana L. Davenport</w:t>
            </w:r>
          </w:p>
        </w:tc>
        <w:tc>
          <w:tcPr>
            <w:tcW w:type="dxa" w:w="1296"/>
          </w:tcPr>
          <w:p>
            <w:r/>
            <w:r>
              <w:rPr>
                <w:sz w:val="19"/>
              </w:rPr>
              <w:t>13.3%</w:t>
            </w:r>
          </w:p>
        </w:tc>
        <w:tc>
          <w:tcPr>
            <w:tcW w:type="dxa" w:w="4896"/>
          </w:tcPr>
          <w:p>
            <w:r/>
            <w:r>
              <w:rPr>
                <w:sz w:val="19"/>
              </w:rPr>
              <w:t>Director of Nursing - Restricted Interest (fully forfeitable; 4.9% time-vested base + 8.4% dual-trigger earn-up)</w:t>
            </w:r>
          </w:p>
        </w:tc>
      </w:tr>
      <w:tr>
        <w:tc>
          <w:tcPr>
            <w:tcW w:type="dxa" w:w="3168"/>
          </w:tcPr>
          <w:p>
            <w:r/>
            <w:r>
              <w:rPr>
                <w:sz w:val="19"/>
              </w:rPr>
              <w:t>Bradley G. Woodard</w:t>
            </w:r>
          </w:p>
        </w:tc>
        <w:tc>
          <w:tcPr>
            <w:tcW w:type="dxa" w:w="1296"/>
          </w:tcPr>
          <w:p>
            <w:r/>
            <w:r>
              <w:rPr>
                <w:sz w:val="19"/>
              </w:rPr>
              <w:t>13.3%</w:t>
            </w:r>
          </w:p>
        </w:tc>
        <w:tc>
          <w:tcPr>
            <w:tcW w:type="dxa" w:w="4896"/>
          </w:tcPr>
          <w:p>
            <w:r/>
            <w:r>
              <w:rPr>
                <w:sz w:val="19"/>
              </w:rPr>
              <w:t>Community Liaison / Director of Sales - Restricted Interest (fully forfeitable; 4.9% time-vested base + 8.4% dual-trigger earn-up)</w:t>
            </w:r>
          </w:p>
        </w:tc>
      </w:tr>
      <w:tr>
        <w:tc>
          <w:tcPr>
            <w:tcW w:type="dxa" w:w="3168"/>
          </w:tcPr>
          <w:p>
            <w:r/>
            <w:r>
              <w:rPr>
                <w:sz w:val="19"/>
              </w:rPr>
              <w:t>Unissued pool</w:t>
            </w:r>
          </w:p>
        </w:tc>
        <w:tc>
          <w:tcPr>
            <w:tcW w:type="dxa" w:w="1296"/>
          </w:tcPr>
          <w:p>
            <w:r/>
            <w:r>
              <w:rPr>
                <w:sz w:val="19"/>
              </w:rPr>
              <w:t>0.7%</w:t>
            </w:r>
          </w:p>
        </w:tc>
        <w:tc>
          <w:tcPr>
            <w:tcW w:type="dxa" w:w="4896"/>
          </w:tcPr>
          <w:p>
            <w:r/>
            <w:r>
              <w:rPr>
                <w:sz w:val="19"/>
              </w:rPr>
              <w:t>Reserved for future grants</w:t>
            </w:r>
          </w:p>
        </w:tc>
      </w:tr>
    </w:tbl>
    <w:p>
      <w:pPr>
        <w:pStyle w:val="Heading2"/>
        <w:keepNext/>
        <w:spacing w:before="160" w:after="40"/>
      </w:pPr>
      <w:r>
        <w:rPr>
          <w:b/>
          <w:color w:val="1F3864"/>
          <w:sz w:val="23"/>
        </w:rPr>
        <w:t>Sources of capital &amp; SBA guaranty</w:t>
      </w:r>
    </w:p>
    <w:p>
      <w:r>
        <w:rPr>
          <w:b w:val="0"/>
          <w:i w:val="0"/>
          <w:sz w:val="21"/>
        </w:rPr>
        <w:t>The $750,000 project is funded by the $500,000 SBA 7(a) loan and a $250,000 cash equity injection: $195,000 from investor James E. Bullard in exchange for a direct 19.5% membership interest, and $55,000 from Geoff Schackmann. The injection equals 33% of total project cost - well above the 10% minimum required under SBA SOP 50 10 8. Mr. Bullard's funds are his own savings (non-borrowed), verified by his bank statements; $100,000 was wired on May 7, 2026 and the balance follows on a committed schedule. Because he holds less than 20% and exercises no operational control, no SBA personal guaranty is required of him (13 CFR 120.160). There is no companion bank loan: the prior dual-debt structure has been superseded, and after the SBA proceeds retire the deferred seller note at the month-2 funding the business carries a single debt. The SBA 7(a) loan is guaranteed by Geoff Schackmann (personal guaranty, controlling Manager and sole 20%+ owner - direct individual 39.9% owner) and by Avant Hospice, LLC (corporate guaranty plus a lien on its assets and receivables, as the operating subsidiary).</w:t>
      </w:r>
    </w:p>
    <w:p>
      <w:pPr>
        <w:pStyle w:val="Heading2"/>
        <w:keepNext/>
        <w:spacing w:before="160" w:after="40"/>
      </w:pPr>
      <w:r>
        <w:rPr>
          <w:b/>
          <w:color w:val="1F3864"/>
          <w:sz w:val="23"/>
        </w:rPr>
        <w:t>2.3 Acquired platform &amp; validated economics</w:t>
      </w:r>
    </w:p>
    <w:p>
      <w:r>
        <w:rPr>
          <w:b w:val="0"/>
          <w:i w:val="0"/>
          <w:sz w:val="21"/>
        </w:rPr>
        <w:t>Avant Hospice, LLC holds what the current regulatory environment has made scarce: a Texas Medicare hospice certification. CMS imposed a nationwide hospice enrollment moratorium (effective May 13, 2026) that names Texas - so certified licenses cannot be newly created; comparable Texas Medicare-only licenses trade at $225-350K, and the $300,000 purchase sits inside that band. The operating economics are not speculative: the model's per-diem rates, patient-day costs, and census ramp are benchmarked to the leadership team's own prior Tyler-market book (~22 ADC and ~$118K net collections per month, April-June 2025 actuals), so the ramp is a return to a proven census level under the same team, in the same market.</w:t>
      </w:r>
    </w:p>
    <w:p>
      <w:pPr>
        <w:pStyle w:val="Heading2"/>
        <w:keepNext/>
        <w:spacing w:before="160" w:after="40"/>
      </w:pPr>
      <w:r>
        <w:rPr>
          <w:b/>
          <w:color w:val="1F3864"/>
          <w:sz w:val="23"/>
        </w:rPr>
        <w:t>2.4 Brand and identity</w:t>
      </w:r>
    </w:p>
    <w:p>
      <w:r>
        <w:rPr>
          <w:b w:val="0"/>
          <w:i w:val="0"/>
          <w:sz w:val="21"/>
        </w:rPr>
        <w:t>Azalea Hospice &amp; Palliative Care is positioned for dignity-led hospice service in East Texas. Tagline: "The standard you upheld your whole life is the one we keep today." Service pillars: Honor, Dignity, Faith, and Reverence - aligned to the conservative-Christian demographic prevalent in Smith County.</w:t>
      </w:r>
    </w:p>
    <w:p>
      <w:r>
        <w:br w:type="page"/>
      </w:r>
    </w:p>
    <w:p>
      <w:pPr>
        <w:pStyle w:val="Heading1"/>
        <w:keepNext/>
        <w:spacing w:after="80"/>
      </w:pPr>
      <w:r>
        <w:rPr>
          <w:b/>
          <w:color w:val="1F3864"/>
          <w:sz w:val="30"/>
        </w:rPr>
        <w:t>03 - Market and Industry Analysis</w:t>
      </w:r>
    </w:p>
    <w:p>
      <w:pPr>
        <w:pStyle w:val="Heading2"/>
        <w:keepNext/>
        <w:spacing w:before="160" w:after="40"/>
      </w:pPr>
      <w:r>
        <w:rPr>
          <w:b/>
          <w:color w:val="1F3864"/>
          <w:sz w:val="23"/>
        </w:rPr>
        <w:t>3.1 Hospice regulatory environment</w:t>
      </w:r>
    </w:p>
    <w:p>
      <w:r>
        <w:rPr>
          <w:b w:val="0"/>
          <w:i w:val="0"/>
          <w:sz w:val="21"/>
        </w:rPr>
        <w:t>Hospice in the United States is delivered under the Medicare Hospice Benefit (established 1982, codified at 42 CFR Part 418). Patients with a terminal prognosis of six months or less, certified by two physicians, elect the benefit in lieu of curative treatment. Four levels of care are reimbursed: Routine Home Care (RHC) at a two-tier per-diem (days 1-60 higher, days 61+ lower), General Inpatient (GIP), Continuous Home Care (CHC), and Inpatient Respite (IRC). Azalea is modeled at ~100% RHC, consistent with national community-hospice patterns.</w:t>
      </w:r>
    </w:p>
    <w:p>
      <w:r>
        <w:rPr>
          <w:b w:val="0"/>
          <w:i w:val="0"/>
          <w:sz w:val="21"/>
        </w:rPr>
        <w:t>For FY2026 the national RHC rates are $230.83/day (Tier 1, days 1-60) and $182.36/day (Tier 2, days 61+), wage-index adjusted for Smith County (Tyler CBSA 46340). With approximately 15% of patient-days at the higher first-60-day rate, the blended net rate is approximately $172 per patient-day after sequestration and billing fees - escalated 2.5% per year (CMS hospice rates have risen every year since 2010). Revenue is billed and passed through at the standard rate.</w:t>
      </w:r>
    </w:p>
    <w:p>
      <w:pPr>
        <w:pStyle w:val="Heading2"/>
        <w:keepNext/>
        <w:spacing w:before="160" w:after="40"/>
      </w:pPr>
      <w:r>
        <w:rPr>
          <w:b/>
          <w:color w:val="1F3864"/>
          <w:sz w:val="23"/>
        </w:rPr>
        <w:t>3.2 License scarcity - the enrollment moratorium</w:t>
      </w:r>
    </w:p>
    <w:p>
      <w:r>
        <w:rPr>
          <w:b w:val="0"/>
          <w:i w:val="0"/>
          <w:sz w:val="21"/>
        </w:rPr>
        <w:t>Two regulatory actions have effectively closed the door on new entrants and made Avant's certification a strategic asset. First, Texas maintains an effective freeze on new Medicaid hospice enrollment, narrowing the paths for new entrants generally. Second, a new provider cannot obtain the Medicare certification that unlocks nursing-facility room and board billing. Second, CMS imposed a nationwide hospice enrollment moratorium effective May 13, 2026, naming Texas among the states of concern - halting new Medicare hospice enrollments altogether. The only way into the market is to acquire an existing certified license, and Texas Medicare-only licenses trade at $225-350K. Azalea's $300,000 purchase is therefore at market for the license alone, and the moratorium that constrains supply also protects Azalea from new competition during the ramp.</w:t>
      </w:r>
    </w:p>
    <w:p>
      <w:pPr>
        <w:pStyle w:val="Heading2"/>
        <w:keepNext/>
        <w:spacing w:before="160" w:after="40"/>
      </w:pPr>
      <w:r>
        <w:rPr>
          <w:b/>
          <w:color w:val="1F3864"/>
          <w:sz w:val="23"/>
        </w:rPr>
        <w:t>3.3 Tyler market - demographics and service area</w:t>
      </w:r>
    </w:p>
    <w:p>
      <w:r>
        <w:rPr>
          <w:b w:val="0"/>
          <w:i w:val="0"/>
          <w:sz w:val="21"/>
        </w:rPr>
        <w:t>Tyler, Texas (city pop. ~110,000; metro ~245,000) is the principal city of Smith County and the regional healthcare hub for East Texas. Azalea operates from a principal office in the Tyler area with a ~45-mile service radius.</w:t>
      </w:r>
    </w:p>
    <w:p>
      <w:pPr>
        <w:pStyle w:val="ListBullet"/>
      </w:pPr>
      <w:r>
        <w:rPr>
          <w:sz w:val="21"/>
        </w:rPr>
        <w:t>Service-area population: ~350,000 across Smith, Cherokee, Henderson, Rusk, Van Zandt, and Wood counties</w:t>
      </w:r>
    </w:p>
    <w:p>
      <w:pPr>
        <w:pStyle w:val="ListBullet"/>
      </w:pPr>
      <w:r>
        <w:rPr>
          <w:sz w:val="21"/>
        </w:rPr>
        <w:t>Medicare-eligible population (65+): ~60,000+</w:t>
      </w:r>
    </w:p>
    <w:p>
      <w:pPr>
        <w:pStyle w:val="ListBullet"/>
      </w:pPr>
      <w:r>
        <w:rPr>
          <w:sz w:val="21"/>
        </w:rPr>
        <w:t>Hospice utilization: 50-55% of Medicare decedents (above the ~50% national average) - a mature, accepting market</w:t>
      </w:r>
    </w:p>
    <w:p>
      <w:pPr>
        <w:pStyle w:val="ListBullet"/>
      </w:pPr>
      <w:r>
        <w:rPr>
          <w:sz w:val="21"/>
        </w:rPr>
        <w:t>Population growth: Tyler has grown 15%+ since 2010, driven by healthcare-sector expansion and retirement in-migration</w:t>
      </w:r>
    </w:p>
    <w:p>
      <w:pPr>
        <w:pStyle w:val="ListBullet"/>
      </w:pPr>
      <w:r>
        <w:rPr>
          <w:sz w:val="21"/>
        </w:rPr>
        <w:t>Dominant religious demographic: conservative-Christian - strong alignment with Azalea's faith-based service pillars</w:t>
      </w:r>
    </w:p>
    <w:p>
      <w:pPr>
        <w:pStyle w:val="Heading2"/>
        <w:keepNext/>
        <w:spacing w:before="160" w:after="40"/>
      </w:pPr>
      <w:r>
        <w:rPr>
          <w:b/>
          <w:color w:val="1F3864"/>
          <w:sz w:val="23"/>
        </w:rPr>
        <w:t>3.4 Major hospital systems - referral drivers</w:t>
      </w:r>
    </w:p>
    <w:p>
      <w:pPr>
        <w:pStyle w:val="ListBullet"/>
      </w:pPr>
      <w:r>
        <w:rPr>
          <w:sz w:val="21"/>
        </w:rPr>
        <w:t>UT Health Tyler - 502-bed Level 1 trauma center, regional referral hub</w:t>
      </w:r>
    </w:p>
    <w:p>
      <w:pPr>
        <w:pStyle w:val="ListBullet"/>
      </w:pPr>
      <w:r>
        <w:rPr>
          <w:sz w:val="21"/>
        </w:rPr>
        <w:t>CHRISTUS Trinity Mother Frances - 438-bed acute care flagship</w:t>
      </w:r>
    </w:p>
    <w:p>
      <w:pPr>
        <w:pStyle w:val="ListBullet"/>
      </w:pPr>
      <w:r>
        <w:rPr>
          <w:sz w:val="21"/>
        </w:rPr>
        <w:t>UT Health North East - 153-bed acute care</w:t>
      </w:r>
    </w:p>
    <w:p>
      <w:pPr>
        <w:pStyle w:val="ListBullet"/>
      </w:pPr>
      <w:r>
        <w:rPr>
          <w:sz w:val="21"/>
        </w:rPr>
        <w:t>CHRISTUS Louis &amp; Peaches Owen Heart Hospital - cardiac</w:t>
      </w:r>
    </w:p>
    <w:p>
      <w:pPr>
        <w:pStyle w:val="ListBullet"/>
      </w:pPr>
      <w:r>
        <w:rPr>
          <w:sz w:val="21"/>
        </w:rPr>
        <w:t>Texas Spine &amp; Joint Hospital - 64-bed surgical</w:t>
      </w:r>
    </w:p>
    <w:p>
      <w:pPr>
        <w:pStyle w:val="ListBullet"/>
      </w:pPr>
      <w:r>
        <w:rPr>
          <w:sz w:val="21"/>
        </w:rPr>
        <w:t>UT Health Jacksonville - 90-bed acute care (Cherokee County)</w:t>
      </w:r>
    </w:p>
    <w:p>
      <w:pPr>
        <w:pStyle w:val="Heading2"/>
        <w:keepNext/>
        <w:spacing w:before="160" w:after="40"/>
      </w:pPr>
      <w:r>
        <w:rPr>
          <w:b/>
          <w:color w:val="1F3864"/>
          <w:sz w:val="23"/>
        </w:rPr>
        <w:t>3.5 Skilled nursing &amp; assisted living landscape</w:t>
      </w:r>
    </w:p>
    <w:p>
      <w:r>
        <w:rPr>
          <w:b w:val="0"/>
          <w:i w:val="0"/>
          <w:sz w:val="21"/>
        </w:rPr>
        <w:t>Smith County and surrounding counties hold ~40+ skilled nursing facilities (SNFs) and ~30+ assisted living facilities (ALFs). These are a concentrated, high-volume referral source: residents with terminal diagnoses frequently elect hospice, and facility relationships drive consistent admission volume. The team's long-standing facility relationships are the direct competitive lever in this channel - decades of East Texas SNF/ALF coverage for residents, which many facilities require of a hospice partner. Tier 1 facilities (highest-census SNFs and ALFs in the Tyler metro) receive weekly in-person visits from the Community Liaison and clinical liaison; Tier 2 facilities receive bi-weekly or monthly touchpoints by census potential.</w:t>
      </w:r>
    </w:p>
    <w:p>
      <w:pPr>
        <w:pStyle w:val="Heading2"/>
        <w:keepNext/>
        <w:spacing w:before="160" w:after="40"/>
      </w:pPr>
      <w:r>
        <w:rPr>
          <w:b/>
          <w:color w:val="1F3864"/>
          <w:sz w:val="23"/>
        </w:rPr>
        <w:t>3.6 Physician &amp; referral source ecosystem</w:t>
      </w:r>
    </w:p>
    <w:p>
      <w:r>
        <w:rPr>
          <w:b w:val="0"/>
          <w:i w:val="0"/>
          <w:sz w:val="21"/>
        </w:rPr>
        <w:t>Hospice admissions in the Tyler market are driven by referral relationships with hospital discharge planners and case managers (the single highest-volume source), 200+ primary care physicians, oncologists (UT Health Tyler Cancer Center, Texas Oncology, CHRISTUS), organ-specialty physicians (pulmonology, cardiology, neurology), SNF/ALF medical directors and DONs, and the faith-community and pastoral-care networks that are uniquely important in East Texas. A mature, above-average-utilization market with 60,000+ Medicare-eligible residents and 70+ senior facilities - entered not cold, but by an experienced local team on validated Tyler-market economics, holding a certified license new entrants cannot obtain.</w:t>
      </w:r>
    </w:p>
    <w:p>
      <w:r>
        <w:br w:type="page"/>
      </w:r>
    </w:p>
    <w:p>
      <w:pPr>
        <w:pStyle w:val="Heading1"/>
        <w:keepNext/>
        <w:spacing w:after="80"/>
      </w:pPr>
      <w:r>
        <w:rPr>
          <w:b/>
          <w:color w:val="1F3864"/>
          <w:sz w:val="30"/>
        </w:rPr>
        <w:t>04 - Competitive Analysis</w:t>
      </w:r>
    </w:p>
    <w:p>
      <w:r>
        <w:rPr>
          <w:b w:val="0"/>
          <w:i w:val="0"/>
          <w:sz w:val="21"/>
        </w:rPr>
        <w:t>The Tyler/Smith County hospice market includes national multi-state operators, regional providers, and local independents. Key Medicare-certified providers serving the market:</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2736"/>
          </w:tcPr>
          <w:p>
            <w:r/>
            <w:r>
              <w:rPr>
                <w:b/>
                <w:sz w:val="19"/>
              </w:rPr>
              <w:t>Competitor</w:t>
            </w:r>
          </w:p>
        </w:tc>
        <w:tc>
          <w:tcPr>
            <w:tcW w:type="dxa" w:w="1872"/>
          </w:tcPr>
          <w:p>
            <w:r/>
            <w:r>
              <w:rPr>
                <w:b/>
                <w:sz w:val="19"/>
              </w:rPr>
              <w:t>Type</w:t>
            </w:r>
          </w:p>
        </w:tc>
        <w:tc>
          <w:tcPr>
            <w:tcW w:type="dxa" w:w="4752"/>
          </w:tcPr>
          <w:p>
            <w:r/>
            <w:r>
              <w:rPr>
                <w:b/>
                <w:sz w:val="19"/>
              </w:rPr>
              <w:t>Weaknesses vs. Azalea</w:t>
            </w:r>
          </w:p>
        </w:tc>
      </w:tr>
      <w:tr>
        <w:tc>
          <w:tcPr>
            <w:tcW w:type="dxa" w:w="2736"/>
          </w:tcPr>
          <w:p>
            <w:r/>
            <w:r>
              <w:rPr>
                <w:sz w:val="19"/>
              </w:rPr>
              <w:t>Heart to Heart Hospice - Tyler</w:t>
            </w:r>
          </w:p>
        </w:tc>
        <w:tc>
          <w:tcPr>
            <w:tcW w:type="dxa" w:w="1872"/>
          </w:tcPr>
          <w:p>
            <w:r/>
            <w:r>
              <w:rPr>
                <w:sz w:val="19"/>
              </w:rPr>
              <w:t>Regional (TX)</w:t>
            </w:r>
          </w:p>
        </w:tc>
        <w:tc>
          <w:tcPr>
            <w:tcW w:type="dxa" w:w="4752"/>
          </w:tcPr>
          <w:p>
            <w:r/>
            <w:r>
              <w:rPr>
                <w:sz w:val="19"/>
              </w:rPr>
              <w:t>Standard model; no faith-based differentiation</w:t>
            </w:r>
          </w:p>
        </w:tc>
      </w:tr>
      <w:tr>
        <w:tc>
          <w:tcPr>
            <w:tcW w:type="dxa" w:w="2736"/>
          </w:tcPr>
          <w:p>
            <w:r/>
            <w:r>
              <w:rPr>
                <w:sz w:val="19"/>
              </w:rPr>
              <w:t>VITAS Healthcare - Tyler</w:t>
            </w:r>
          </w:p>
        </w:tc>
        <w:tc>
          <w:tcPr>
            <w:tcW w:type="dxa" w:w="1872"/>
          </w:tcPr>
          <w:p>
            <w:r/>
            <w:r>
              <w:rPr>
                <w:sz w:val="19"/>
              </w:rPr>
              <w:t>National</w:t>
            </w:r>
          </w:p>
        </w:tc>
        <w:tc>
          <w:tcPr>
            <w:tcW w:type="dxa" w:w="4752"/>
          </w:tcPr>
          <w:p>
            <w:r/>
            <w:r>
              <w:rPr>
                <w:sz w:val="19"/>
              </w:rPr>
              <w:t>Bureaucratic; national protocols; less personal</w:t>
            </w:r>
          </w:p>
        </w:tc>
      </w:tr>
      <w:tr>
        <w:tc>
          <w:tcPr>
            <w:tcW w:type="dxa" w:w="2736"/>
          </w:tcPr>
          <w:p>
            <w:r/>
            <w:r>
              <w:rPr>
                <w:sz w:val="19"/>
              </w:rPr>
              <w:t>Hospice of East Texas</w:t>
            </w:r>
          </w:p>
        </w:tc>
        <w:tc>
          <w:tcPr>
            <w:tcW w:type="dxa" w:w="1872"/>
          </w:tcPr>
          <w:p>
            <w:r/>
            <w:r>
              <w:rPr>
                <w:sz w:val="19"/>
              </w:rPr>
              <w:t>Local nonprofit</w:t>
            </w:r>
          </w:p>
        </w:tc>
        <w:tc>
          <w:tcPr>
            <w:tcW w:type="dxa" w:w="4752"/>
          </w:tcPr>
          <w:p>
            <w:r/>
            <w:r>
              <w:rPr>
                <w:sz w:val="19"/>
              </w:rPr>
              <w:t>Limited marketing budget; slower growth</w:t>
            </w:r>
          </w:p>
        </w:tc>
      </w:tr>
      <w:tr>
        <w:tc>
          <w:tcPr>
            <w:tcW w:type="dxa" w:w="2736"/>
          </w:tcPr>
          <w:p>
            <w:r/>
            <w:r>
              <w:rPr>
                <w:sz w:val="19"/>
              </w:rPr>
              <w:t>CHRISTUS Hospice</w:t>
            </w:r>
          </w:p>
        </w:tc>
        <w:tc>
          <w:tcPr>
            <w:tcW w:type="dxa" w:w="1872"/>
          </w:tcPr>
          <w:p>
            <w:r/>
            <w:r>
              <w:rPr>
                <w:sz w:val="19"/>
              </w:rPr>
              <w:t>Health system</w:t>
            </w:r>
          </w:p>
        </w:tc>
        <w:tc>
          <w:tcPr>
            <w:tcW w:type="dxa" w:w="4752"/>
          </w:tcPr>
          <w:p>
            <w:r/>
            <w:r>
              <w:rPr>
                <w:sz w:val="19"/>
              </w:rPr>
              <w:t>System constraints; less flexibility</w:t>
            </w:r>
          </w:p>
        </w:tc>
      </w:tr>
      <w:tr>
        <w:tc>
          <w:tcPr>
            <w:tcW w:type="dxa" w:w="2736"/>
          </w:tcPr>
          <w:p>
            <w:r/>
            <w:r>
              <w:rPr>
                <w:sz w:val="19"/>
              </w:rPr>
              <w:t>Enhabit Hospice - Tyler</w:t>
            </w:r>
          </w:p>
        </w:tc>
        <w:tc>
          <w:tcPr>
            <w:tcW w:type="dxa" w:w="1872"/>
          </w:tcPr>
          <w:p>
            <w:r/>
            <w:r>
              <w:rPr>
                <w:sz w:val="19"/>
              </w:rPr>
              <w:t>National (public)</w:t>
            </w:r>
          </w:p>
        </w:tc>
        <w:tc>
          <w:tcPr>
            <w:tcW w:type="dxa" w:w="4752"/>
          </w:tcPr>
          <w:p>
            <w:r/>
            <w:r>
              <w:rPr>
                <w:sz w:val="19"/>
              </w:rPr>
              <w:t>Fragmented sales effort; less local focus</w:t>
            </w:r>
          </w:p>
        </w:tc>
      </w:tr>
      <w:tr>
        <w:tc>
          <w:tcPr>
            <w:tcW w:type="dxa" w:w="2736"/>
          </w:tcPr>
          <w:p>
            <w:r/>
            <w:r>
              <w:rPr>
                <w:sz w:val="19"/>
              </w:rPr>
              <w:t>Traditions Health - Tyler</w:t>
            </w:r>
          </w:p>
        </w:tc>
        <w:tc>
          <w:tcPr>
            <w:tcW w:type="dxa" w:w="1872"/>
          </w:tcPr>
          <w:p>
            <w:r/>
            <w:r>
              <w:rPr>
                <w:sz w:val="19"/>
              </w:rPr>
              <w:t>National</w:t>
            </w:r>
          </w:p>
        </w:tc>
        <w:tc>
          <w:tcPr>
            <w:tcW w:type="dxa" w:w="4752"/>
          </w:tcPr>
          <w:p>
            <w:r/>
            <w:r>
              <w:rPr>
                <w:sz w:val="19"/>
              </w:rPr>
              <w:t>Newer entrant; relationships unproven</w:t>
            </w:r>
          </w:p>
        </w:tc>
      </w:tr>
      <w:tr>
        <w:tc>
          <w:tcPr>
            <w:tcW w:type="dxa" w:w="2736"/>
          </w:tcPr>
          <w:p>
            <w:r/>
            <w:r>
              <w:rPr>
                <w:sz w:val="19"/>
              </w:rPr>
              <w:t>Kindred / CenterWell</w:t>
            </w:r>
          </w:p>
        </w:tc>
        <w:tc>
          <w:tcPr>
            <w:tcW w:type="dxa" w:w="1872"/>
          </w:tcPr>
          <w:p>
            <w:r/>
            <w:r>
              <w:rPr>
                <w:sz w:val="19"/>
              </w:rPr>
              <w:t>National (Humana)</w:t>
            </w:r>
          </w:p>
        </w:tc>
        <w:tc>
          <w:tcPr>
            <w:tcW w:type="dxa" w:w="4752"/>
          </w:tcPr>
          <w:p>
            <w:r/>
            <w:r>
              <w:rPr>
                <w:sz w:val="19"/>
              </w:rPr>
              <w:t>Limited to Humana MA members</w:t>
            </w:r>
          </w:p>
        </w:tc>
      </w:tr>
      <w:tr>
        <w:tc>
          <w:tcPr>
            <w:tcW w:type="dxa" w:w="2736"/>
          </w:tcPr>
          <w:p>
            <w:r/>
            <w:r>
              <w:rPr>
                <w:sz w:val="19"/>
              </w:rPr>
              <w:t>Harbor Hospice - East TX</w:t>
            </w:r>
          </w:p>
        </w:tc>
        <w:tc>
          <w:tcPr>
            <w:tcW w:type="dxa" w:w="1872"/>
          </w:tcPr>
          <w:p>
            <w:r/>
            <w:r>
              <w:rPr>
                <w:sz w:val="19"/>
              </w:rPr>
              <w:t>Regional</w:t>
            </w:r>
          </w:p>
        </w:tc>
        <w:tc>
          <w:tcPr>
            <w:tcW w:type="dxa" w:w="4752"/>
          </w:tcPr>
          <w:p>
            <w:r/>
            <w:r>
              <w:rPr>
                <w:sz w:val="19"/>
              </w:rPr>
              <w:t>Limited capacity; smaller sales team</w:t>
            </w:r>
          </w:p>
        </w:tc>
      </w:tr>
    </w:tbl>
    <w:p>
      <w:pPr>
        <w:pStyle w:val="Heading2"/>
        <w:keepNext/>
        <w:spacing w:before="160" w:after="40"/>
      </w:pPr>
      <w:r>
        <w:rPr>
          <w:b/>
          <w:color w:val="1F3864"/>
          <w:sz w:val="23"/>
        </w:rPr>
        <w:t>Azalea's differentiation</w:t>
      </w:r>
    </w:p>
    <w:p>
      <w:pPr>
        <w:pStyle w:val="ListBullet"/>
      </w:pPr>
      <w:r>
        <w:rPr>
          <w:sz w:val="21"/>
        </w:rPr>
        <w:t>Medicare certification under a nationwide enrollment moratorium - a scarce license position that new entrants cannot replicate</w:t>
      </w:r>
    </w:p>
    <w:p>
      <w:pPr>
        <w:pStyle w:val="ListBullet"/>
      </w:pPr>
      <w:r>
        <w:rPr>
          <w:sz w:val="21"/>
        </w:rPr>
        <w:t>Validated local economics - modeled on the leadership team's own proven ~22 ADC Tyler book, not a standing start</w:t>
      </w:r>
    </w:p>
    <w:p>
      <w:pPr>
        <w:pStyle w:val="ListBullet"/>
      </w:pPr>
      <w:r>
        <w:rPr>
          <w:sz w:val="21"/>
        </w:rPr>
        <w:t>Dignity-led hospitality model - luxury-hospitality standards applied to end-of-life care</w:t>
      </w:r>
    </w:p>
    <w:p>
      <w:pPr>
        <w:pStyle w:val="ListBullet"/>
      </w:pPr>
      <w:r>
        <w:rPr>
          <w:sz w:val="21"/>
        </w:rPr>
        <w:t>Faith-aligned positioning - explicit Christian-values messaging resonant with the local demographic</w:t>
      </w:r>
    </w:p>
    <w:p>
      <w:pPr>
        <w:pStyle w:val="ListBullet"/>
      </w:pPr>
      <w:r>
        <w:rPr>
          <w:sz w:val="21"/>
        </w:rPr>
        <w:t>Speed of admission - same-day / next-day response, faster than national competitors' 24-72 hours</w:t>
      </w:r>
    </w:p>
    <w:p>
      <w:pPr>
        <w:pStyle w:val="ListBullet"/>
      </w:pPr>
      <w:r>
        <w:rPr>
          <w:sz w:val="21"/>
        </w:rPr>
        <w:t>Local independent ownership - faster decisions, no corporate bureaucracy, deeper relationship investment</w:t>
      </w:r>
    </w:p>
    <w:p>
      <w:pPr>
        <w:pStyle w:val="ListBullet"/>
      </w:pPr>
      <w:r>
        <w:rPr>
          <w:sz w:val="21"/>
        </w:rPr>
        <w:t>MVI-certified in The Perfect Visit and Perfect Phones - national co-marketing exposure that local and regional competitors lack (see 4.1)</w:t>
      </w:r>
    </w:p>
    <w:p>
      <w:pPr>
        <w:pStyle w:val="Heading2"/>
        <w:keepNext/>
        <w:spacing w:before="160" w:after="40"/>
      </w:pPr>
      <w:r>
        <w:rPr>
          <w:b/>
          <w:color w:val="1F3864"/>
          <w:sz w:val="23"/>
        </w:rPr>
        <w:t>4.1 MVI 'Perfect Visit' certification &amp; national co-marketing (strategic upside)</w:t>
      </w:r>
    </w:p>
    <w:p>
      <w:r>
        <w:rPr>
          <w:b w:val="0"/>
          <w:i w:val="0"/>
          <w:sz w:val="21"/>
        </w:rPr>
        <w:t>Azalea is pursuing certification by MultiView Incorporated (MVI) in The Perfect Visit and Perfect Phones - structured programs that certify an agency's patient-visit quality and its intake and telephone responsiveness against a defined standard. MVI, led by Andrew Reid, is launching a national, multi-platform advertising campaign that promotes hospice agencies certified in The Perfect Visit. As a certified agency, Azalea would be featured to a national audience - the kind of brand exposure normally reserved for the largest national operators with multi-million-dollar ad budgets, here made accessible to a local independent through the certification.</w:t>
      </w:r>
    </w:p>
    <w:p>
      <w:r>
        <w:rPr>
          <w:b w:val="0"/>
          <w:i w:val="0"/>
          <w:sz w:val="21"/>
        </w:rPr>
        <w:t>Azalea will develop an in-tandem local marketing plan timed to the national campaign - capturing the awareness it generates and converting it into local inquiries and referrals across the Tyler service area. The pairing of a national demand-generation engine with a focused local conversion plan is a differentiator no local competitor currently has, and it creates a credible path to take market share from the regional and national incumbents listed above.</w:t>
      </w:r>
    </w:p>
    <w:p>
      <w:r>
        <w:rPr>
          <w:b w:val="0"/>
          <w:i w:val="0"/>
          <w:sz w:val="21"/>
        </w:rPr>
        <w:t>Underwriting note: this is incremental upside. The financial projections in Section 11 remain conservative and assume no lift from the MVI certification or the national campaign; debt service is covered on the base-case census path without it. The certification represents potential growth above plan, not a dependency.</w:t>
      </w:r>
    </w:p>
    <w:p>
      <w:r>
        <w:br w:type="page"/>
      </w:r>
    </w:p>
    <w:p>
      <w:pPr>
        <w:pStyle w:val="Heading1"/>
        <w:keepNext/>
        <w:spacing w:after="80"/>
      </w:pPr>
      <w:r>
        <w:rPr>
          <w:b/>
          <w:color w:val="1F3864"/>
          <w:sz w:val="30"/>
        </w:rPr>
        <w:t>05 - SWOT Analysis</w:t>
      </w:r>
    </w:p>
    <w:p>
      <w:pPr>
        <w:pStyle w:val="Heading2"/>
        <w:keepNext/>
        <w:spacing w:before="160" w:after="40"/>
      </w:pPr>
      <w:r>
        <w:rPr>
          <w:b/>
          <w:color w:val="1F3864"/>
          <w:sz w:val="23"/>
        </w:rPr>
        <w:t>Strengths</w:t>
      </w:r>
    </w:p>
    <w:p>
      <w:pPr>
        <w:pStyle w:val="ListBullet"/>
      </w:pPr>
      <w:r>
        <w:rPr>
          <w:sz w:val="21"/>
        </w:rPr>
        <w:t>Medicare certification in hand (CCN 741798) - a clean, uncompromised enrollment with no billing history to defend</w:t>
      </w:r>
    </w:p>
    <w:p>
      <w:pPr>
        <w:pStyle w:val="ListBullet"/>
      </w:pPr>
      <w:r>
        <w:rPr>
          <w:sz w:val="21"/>
        </w:rPr>
        <w:t>Scarce license: the CMS nationwide enrollment moratorium (effective 5/13/2026, naming Texas) blocks new entrants; comparable Medicare-only licenses trade at $225-350K and the purchase is at $300K</w:t>
      </w:r>
    </w:p>
    <w:p>
      <w:pPr>
        <w:pStyle w:val="ListBullet"/>
      </w:pPr>
      <w:r>
        <w:rPr>
          <w:sz w:val="21"/>
        </w:rPr>
        <w:t>Modeled on validated Tyler-market economics (~22 ADC, ~$118K/mo) benchmarked to the team's own actual collections</w:t>
      </w:r>
    </w:p>
    <w:p>
      <w:pPr>
        <w:pStyle w:val="ListBullet"/>
      </w:pPr>
      <w:r>
        <w:rPr>
          <w:sz w:val="21"/>
        </w:rPr>
        <w:t>Experienced clinical &amp; admin team already in seat, with deep East-Texas referral relationships</w:t>
      </w:r>
    </w:p>
    <w:p>
      <w:pPr>
        <w:pStyle w:val="ListBullet"/>
      </w:pPr>
      <w:r>
        <w:rPr>
          <w:sz w:val="21"/>
        </w:rPr>
        <w:t>Simple, conservative capital structure - a single $500K SBA loan; the seller note is fully deferred and retired at the month-2 SBA funding; no other debt, ever</w:t>
      </w:r>
    </w:p>
    <w:p>
      <w:pPr>
        <w:pStyle w:val="ListBullet"/>
      </w:pPr>
      <w:r>
        <w:rPr>
          <w:sz w:val="21"/>
        </w:rPr>
        <w:t>$250K cash equity injection (33% of project) plus a $235K working-capital plan with lender-controlled disbursement</w:t>
      </w:r>
    </w:p>
    <w:p>
      <w:pPr>
        <w:pStyle w:val="ListBullet"/>
      </w:pPr>
      <w:r>
        <w:rPr>
          <w:sz w:val="21"/>
        </w:rPr>
        <w:t>Strong ownership alignment - operators hold equity (13.3% each); experienced multi-hospice Manager</w:t>
      </w:r>
    </w:p>
    <w:p>
      <w:pPr>
        <w:pStyle w:val="Heading2"/>
        <w:keepNext/>
        <w:spacing w:before="160" w:after="40"/>
      </w:pPr>
      <w:r>
        <w:rPr>
          <w:b/>
          <w:color w:val="1F3864"/>
          <w:sz w:val="23"/>
        </w:rPr>
        <w:t>Weaknesses</w:t>
      </w:r>
    </w:p>
    <w:p>
      <w:pPr>
        <w:pStyle w:val="ListBullet"/>
      </w:pPr>
      <w:r>
        <w:rPr>
          <w:sz w:val="21"/>
        </w:rPr>
        <w:t>Newco borrower with no operating history of its own (mitigated by the team's benchmarked prior book and an experienced operator)</w:t>
      </w:r>
    </w:p>
    <w:p>
      <w:pPr>
        <w:pStyle w:val="ListBullet"/>
      </w:pPr>
      <w:r>
        <w:rPr>
          <w:sz w:val="21"/>
        </w:rPr>
        <w:t>Avant has minimal current operations - census must be built from the team's referral relationships during ramp</w:t>
      </w:r>
    </w:p>
    <w:p>
      <w:pPr>
        <w:pStyle w:val="ListBullet"/>
      </w:pPr>
      <w:r>
        <w:rPr>
          <w:sz w:val="21"/>
        </w:rPr>
        <w:t>Single-office, single-market concentration</w:t>
      </w:r>
    </w:p>
    <w:p>
      <w:pPr>
        <w:pStyle w:val="ListBullet"/>
      </w:pPr>
      <w:r>
        <w:rPr>
          <w:sz w:val="21"/>
        </w:rPr>
        <w:t>First claims enter prepayment review (42 CFR 424.527) - the target has never billed; mitigated by a $435,000 working-capital reserve (58% of project), owner salary deferral to break-even census, and zero debt service until SBA funds</w:t>
      </w:r>
    </w:p>
    <w:p>
      <w:pPr>
        <w:pStyle w:val="ListBullet"/>
      </w:pPr>
      <w:r>
        <w:rPr>
          <w:sz w:val="21"/>
        </w:rPr>
        <w:t>Sensitivity to a sustained census shortfall (see Section 11.7)</w:t>
      </w:r>
    </w:p>
    <w:p>
      <w:pPr>
        <w:pStyle w:val="ListBullet"/>
      </w:pPr>
      <w:r>
        <w:rPr>
          <w:sz w:val="21"/>
        </w:rPr>
        <w:t>Manager's attention is split across other interests during launch</w:t>
      </w:r>
    </w:p>
    <w:p>
      <w:pPr>
        <w:pStyle w:val="Heading2"/>
        <w:keepNext/>
        <w:spacing w:before="160" w:after="40"/>
      </w:pPr>
      <w:r>
        <w:rPr>
          <w:b/>
          <w:color w:val="1F3864"/>
          <w:sz w:val="23"/>
        </w:rPr>
        <w:t>Opportunities</w:t>
      </w:r>
    </w:p>
    <w:p>
      <w:pPr>
        <w:pStyle w:val="ListBullet"/>
      </w:pPr>
      <w:r>
        <w:rPr>
          <w:sz w:val="21"/>
        </w:rPr>
        <w:t>Growing 65+ population (60,000+ Medicare-eligible) with above-average utilization</w:t>
      </w:r>
    </w:p>
    <w:p>
      <w:pPr>
        <w:pStyle w:val="ListBullet"/>
      </w:pPr>
      <w:r>
        <w:rPr>
          <w:sz w:val="21"/>
        </w:rPr>
        <w:t>Base-case census growth to 56 patients by month 36 from the team's referral pipeline</w:t>
      </w:r>
    </w:p>
    <w:p>
      <w:pPr>
        <w:pStyle w:val="ListBullet"/>
      </w:pPr>
      <w:r>
        <w:rPr>
          <w:sz w:val="21"/>
        </w:rPr>
        <w:t>70+ SNF/ALF facilities, many underserved by incumbents - addressable through the team's established facility relationships</w:t>
      </w:r>
    </w:p>
    <w:p>
      <w:pPr>
        <w:pStyle w:val="ListBullet"/>
      </w:pPr>
      <w:r>
        <w:rPr>
          <w:sz w:val="21"/>
        </w:rPr>
        <w:t>Faith-based marketing to an extensive church and ministry network</w:t>
      </w:r>
    </w:p>
    <w:p>
      <w:pPr>
        <w:pStyle w:val="ListBullet"/>
      </w:pPr>
      <w:r>
        <w:rPr>
          <w:sz w:val="21"/>
        </w:rPr>
        <w:t>Palliative-care consultation line as a Year 2-3 revenue diversifier</w:t>
      </w:r>
    </w:p>
    <w:p>
      <w:pPr>
        <w:pStyle w:val="ListBullet"/>
      </w:pPr>
      <w:r>
        <w:rPr>
          <w:sz w:val="21"/>
        </w:rPr>
        <w:t>MVI 'Perfect Visit' / 'Perfect Phones' certification + Andrew Reid's national multi-platform campaign - national lead exposure for a local independent (upside, not in the base case)</w:t>
      </w:r>
    </w:p>
    <w:p>
      <w:pPr>
        <w:pStyle w:val="ListBullet"/>
      </w:pPr>
      <w:r>
        <w:rPr>
          <w:sz w:val="21"/>
        </w:rPr>
        <w:t>CMS hospice rates have risen every year since 2010; model carries a conservative 2.5%/yr escalation</w:t>
      </w:r>
    </w:p>
    <w:p>
      <w:pPr>
        <w:pStyle w:val="Heading2"/>
        <w:keepNext/>
        <w:spacing w:before="160" w:after="40"/>
      </w:pPr>
      <w:r>
        <w:rPr>
          <w:b/>
          <w:color w:val="1F3864"/>
          <w:sz w:val="23"/>
        </w:rPr>
        <w:t>Threats</w:t>
      </w:r>
    </w:p>
    <w:p>
      <w:pPr>
        <w:pStyle w:val="ListBullet"/>
      </w:pPr>
      <w:r>
        <w:rPr>
          <w:sz w:val="21"/>
        </w:rPr>
        <w:t>National competitors with larger sales forces and budgets</w:t>
      </w:r>
    </w:p>
    <w:p>
      <w:pPr>
        <w:pStyle w:val="ListBullet"/>
      </w:pPr>
      <w:r>
        <w:rPr>
          <w:sz w:val="21"/>
        </w:rPr>
        <w:t>CMS reimbursement or regulatory changes</w:t>
      </w:r>
    </w:p>
    <w:p>
      <w:pPr>
        <w:pStyle w:val="ListBullet"/>
      </w:pPr>
      <w:r>
        <w:rPr>
          <w:sz w:val="21"/>
        </w:rPr>
        <w:t>Medicare Advantage hospice carve-in could shift referral dynamics</w:t>
      </w:r>
    </w:p>
    <w:p>
      <w:pPr>
        <w:pStyle w:val="ListBullet"/>
      </w:pPr>
      <w:r>
        <w:rPr>
          <w:sz w:val="21"/>
        </w:rPr>
        <w:t>East Texas clinical labor shortage could pressure wages</w:t>
      </w:r>
    </w:p>
    <w:p>
      <w:pPr>
        <w:pStyle w:val="ListBullet"/>
      </w:pPr>
      <w:r>
        <w:rPr>
          <w:sz w:val="21"/>
        </w:rPr>
        <w:t>Ramp-period cash timing ahead of Medicare collections (NOE-to-cash ~30-60 days); mitigated by the $235K working-capital plan, owner salary deferral, staged hiring, and month-by-month cash-flow modeling</w:t>
      </w:r>
    </w:p>
    <w:p>
      <w:r>
        <w:br w:type="page"/>
      </w:r>
    </w:p>
    <w:p>
      <w:pPr>
        <w:pStyle w:val="Heading1"/>
        <w:keepNext/>
        <w:spacing w:after="80"/>
      </w:pPr>
      <w:r>
        <w:rPr>
          <w:b/>
          <w:color w:val="1F3864"/>
          <w:sz w:val="30"/>
        </w:rPr>
        <w:t>06 - Marketing, Sales &amp; Referral Strategy</w:t>
      </w:r>
    </w:p>
    <w:p>
      <w:r>
        <w:rPr>
          <w:b w:val="0"/>
          <w:i w:val="0"/>
          <w:sz w:val="21"/>
        </w:rPr>
        <w:t>Hospice census in the Tyler market is relationship-driven. Azalea's strategy leverages the leadership team's established local referral relationships across five active development channels.</w:t>
      </w:r>
    </w:p>
    <w:p>
      <w:pPr>
        <w:pStyle w:val="Heading2"/>
        <w:keepNext/>
        <w:spacing w:before="160" w:after="40"/>
      </w:pPr>
      <w:r>
        <w:rPr>
          <w:b/>
          <w:color w:val="1F3864"/>
          <w:sz w:val="23"/>
        </w:rPr>
        <w:t>6.1 Hospital referral channel</w:t>
      </w:r>
    </w:p>
    <w:p>
      <w:r>
        <w:rPr>
          <w:b w:val="0"/>
          <w:i w:val="0"/>
          <w:sz w:val="21"/>
        </w:rPr>
        <w:t>Discharge planners and case managers generate the highest referral volume. The Community Liaison (Woodard) maintains a structured weekly cadence: UT Health Tyler and CHRISTUS Trinity Mother Frances (2x/week each), UT Health North East and Texas Spine &amp; Joint (1x/week each), and bi-weekly touchpoints at regional hospitals. Tactics: in-services on hospice eligibility, branded referral materials, and a same-day admission-response protocol (clinical liaison dispatched within 60 minutes).</w:t>
      </w:r>
    </w:p>
    <w:p>
      <w:pPr>
        <w:pStyle w:val="Heading2"/>
        <w:keepNext/>
        <w:spacing w:before="160" w:after="40"/>
      </w:pPr>
      <w:r>
        <w:rPr>
          <w:b/>
          <w:color w:val="1F3864"/>
          <w:sz w:val="23"/>
        </w:rPr>
        <w:t>6.2 SNF / ALF facility channel</w:t>
      </w:r>
    </w:p>
    <w:p>
      <w:r>
        <w:rPr>
          <w:b w:val="0"/>
          <w:i w:val="0"/>
          <w:sz w:val="21"/>
        </w:rPr>
        <w:t>Tier 1 covers the ~15 highest-census SNFs and ALFs/memory-care communities in the Tyler metro with weekly visits and a dedicated clinical liaison; Tier 2 covers the remaining 40+ SNFs and 20+ ALFs across the six-county service area with bi-weekly touchpoints. Quarterly facility in-services and pre-positioned election packets support consistent volume. The team's long-standing facility coverage is a capability many facilities require of a hospice partner and a concrete door-opener in this channel.</w:t>
      </w:r>
    </w:p>
    <w:p>
      <w:pPr>
        <w:pStyle w:val="Heading2"/>
        <w:keepNext/>
        <w:spacing w:before="160" w:after="40"/>
      </w:pPr>
      <w:r>
        <w:rPr>
          <w:b/>
          <w:color w:val="1F3864"/>
          <w:sz w:val="23"/>
        </w:rPr>
        <w:t>6.3 Physician &amp; clinical channel</w:t>
      </w:r>
    </w:p>
    <w:p>
      <w:r>
        <w:rPr>
          <w:b w:val="0"/>
          <w:i w:val="0"/>
          <w:sz w:val="21"/>
        </w:rPr>
        <w:t>CE-accredited physician lunch-and-learns, direct educational outreach, an EHR-embedded referral pathway, and same-day response to physician referrals target the 200+ PCPs, oncologists, and organ-specialty physicians in the service area.</w:t>
      </w:r>
    </w:p>
    <w:p>
      <w:pPr>
        <w:pStyle w:val="Heading2"/>
        <w:keepNext/>
        <w:spacing w:before="160" w:after="40"/>
      </w:pPr>
      <w:r>
        <w:rPr>
          <w:b/>
          <w:color w:val="1F3864"/>
          <w:sz w:val="23"/>
        </w:rPr>
        <w:t>6.4 Faith community &amp; pastoral care channel</w:t>
      </w:r>
    </w:p>
    <w:p>
      <w:r>
        <w:rPr>
          <w:b w:val="0"/>
          <w:i w:val="0"/>
          <w:sz w:val="21"/>
        </w:rPr>
        <w:t>Tyler's 200+ churches and pastoral networks are uniquely valuable referral and brand-building partners. Tactics: monthly pastor breakfasts, hospice education for church visitation teams, bereavement-workshop sponsorship, and chaplaincy partnerships with major hospitals.</w:t>
      </w:r>
    </w:p>
    <w:p>
      <w:pPr>
        <w:pStyle w:val="Heading2"/>
        <w:keepNext/>
        <w:spacing w:before="160" w:after="40"/>
      </w:pPr>
      <w:r>
        <w:rPr>
          <w:b/>
          <w:color w:val="1F3864"/>
          <w:sz w:val="23"/>
        </w:rPr>
        <w:t>6.5 Marketing tactics &amp; budget</w:t>
      </w:r>
    </w:p>
    <w:p>
      <w:r>
        <w:rPr>
          <w:b w:val="0"/>
          <w:i w:val="0"/>
          <w:sz w:val="21"/>
        </w:rPr>
        <w:t>Digital: local SEO, Google Business Profile and review generation, Facebook/Instagram education and testimonial content to adults 45-75 within 50 miles, and Google Ads on high-intent hospice terms. Traditional &amp; community: quarterly educational mailers to SNFs/ALFs/physician offices, senior-focused print, branded admission books and referral pads, bereavement support groups, senior health fairs, and church health-ministry workshops. Marketing spend is funded within fixed G&amp;A and sustained across all three years of the model.</w:t>
      </w:r>
    </w:p>
    <w:p>
      <w:r>
        <w:rPr>
          <w:b w:val="0"/>
          <w:i w:val="0"/>
          <w:sz w:val="21"/>
        </w:rPr>
        <w:t>National co-marketing (upside): as an agency pursuing MVI 'Perfect Visit' and 'Perfect Phones' certification, Azalea will run an in-tandem local campaign timed to MVI's national, multi-platform advertising of certified hospice agencies (led by Andrew Reid) - local landing pages, geo-targeted digital, and referral-source outreach engineered to convert national awareness into Tyler-area leads. This sits on top of the budgeted spend above and is treated as upside; the base-case projections do not rely on it.</w:t>
      </w:r>
    </w:p>
    <w:p>
      <w:pPr>
        <w:pStyle w:val="Heading2"/>
        <w:keepNext/>
        <w:spacing w:before="160" w:after="40"/>
      </w:pPr>
      <w:r>
        <w:rPr>
          <w:b/>
          <w:color w:val="1F3864"/>
          <w:sz w:val="23"/>
        </w:rPr>
        <w:t>6.6 Census model</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2304"/>
          </w:tcPr>
          <w:p>
            <w:r/>
            <w:r>
              <w:rPr>
                <w:b/>
                <w:sz w:val="19"/>
              </w:rPr>
              <w:t>Period</w:t>
            </w:r>
          </w:p>
        </w:tc>
        <w:tc>
          <w:tcPr>
            <w:tcW w:type="dxa" w:w="3168"/>
          </w:tcPr>
          <w:p>
            <w:r/>
            <w:r>
              <w:rPr>
                <w:b/>
                <w:sz w:val="19"/>
              </w:rPr>
              <w:t>Census path (EOM)</w:t>
            </w:r>
          </w:p>
        </w:tc>
        <w:tc>
          <w:tcPr>
            <w:tcW w:type="dxa" w:w="3888"/>
          </w:tcPr>
          <w:p>
            <w:r/>
            <w:r>
              <w:rPr>
                <w:b/>
                <w:sz w:val="19"/>
              </w:rPr>
              <w:t>Primary channel</w:t>
            </w:r>
          </w:p>
        </w:tc>
      </w:tr>
      <w:tr>
        <w:tc>
          <w:tcPr>
            <w:tcW w:type="dxa" w:w="2304"/>
          </w:tcPr>
          <w:p>
            <w:r/>
            <w:r>
              <w:rPr>
                <w:sz w:val="19"/>
              </w:rPr>
              <w:t>Months 1-3 (launch)</w:t>
            </w:r>
          </w:p>
        </w:tc>
        <w:tc>
          <w:tcPr>
            <w:tcW w:type="dxa" w:w="3168"/>
          </w:tcPr>
          <w:p>
            <w:r/>
            <w:r>
              <w:rPr>
                <w:sz w:val="19"/>
              </w:rPr>
              <w:t>20 -&gt; 24 -&gt; 26</w:t>
            </w:r>
          </w:p>
        </w:tc>
        <w:tc>
          <w:tcPr>
            <w:tcW w:type="dxa" w:w="3888"/>
          </w:tcPr>
          <w:p>
            <w:r/>
            <w:r>
              <w:rPr>
                <w:sz w:val="19"/>
              </w:rPr>
              <w:t>Team activation + established referral relationships</w:t>
            </w:r>
          </w:p>
        </w:tc>
      </w:tr>
      <w:tr>
        <w:tc>
          <w:tcPr>
            <w:tcW w:type="dxa" w:w="2304"/>
          </w:tcPr>
          <w:p>
            <w:r/>
            <w:r>
              <w:rPr>
                <w:sz w:val="19"/>
              </w:rPr>
              <w:t>Months 4-12</w:t>
            </w:r>
          </w:p>
        </w:tc>
        <w:tc>
          <w:tcPr>
            <w:tcW w:type="dxa" w:w="3168"/>
          </w:tcPr>
          <w:p>
            <w:r/>
            <w:r>
              <w:rPr>
                <w:sz w:val="19"/>
              </w:rPr>
              <w:t>34 by month 6 -&gt; 40 by month 12</w:t>
            </w:r>
          </w:p>
        </w:tc>
        <w:tc>
          <w:tcPr>
            <w:tcW w:type="dxa" w:w="3888"/>
          </w:tcPr>
          <w:p>
            <w:r/>
            <w:r>
              <w:rPr>
                <w:sz w:val="19"/>
              </w:rPr>
              <w:t>Hospital + SNF/ALF facility accounts</w:t>
            </w:r>
          </w:p>
        </w:tc>
      </w:tr>
      <w:tr>
        <w:tc>
          <w:tcPr>
            <w:tcW w:type="dxa" w:w="2304"/>
          </w:tcPr>
          <w:p>
            <w:r/>
            <w:r>
              <w:rPr>
                <w:sz w:val="19"/>
              </w:rPr>
              <w:t>Year 2</w:t>
            </w:r>
          </w:p>
        </w:tc>
        <w:tc>
          <w:tcPr>
            <w:tcW w:type="dxa" w:w="3168"/>
          </w:tcPr>
          <w:p>
            <w:r/>
            <w:r>
              <w:rPr>
                <w:sz w:val="19"/>
              </w:rPr>
              <w:t>50 by month 24 (~45 avg ADC)</w:t>
            </w:r>
          </w:p>
        </w:tc>
        <w:tc>
          <w:tcPr>
            <w:tcW w:type="dxa" w:w="3888"/>
          </w:tcPr>
          <w:p>
            <w:r/>
            <w:r>
              <w:rPr>
                <w:sz w:val="19"/>
              </w:rPr>
              <w:t>All channels + faith</w:t>
            </w:r>
          </w:p>
        </w:tc>
      </w:tr>
      <w:tr>
        <w:tc>
          <w:tcPr>
            <w:tcW w:type="dxa" w:w="2304"/>
          </w:tcPr>
          <w:p>
            <w:r/>
            <w:r>
              <w:rPr>
                <w:sz w:val="19"/>
              </w:rPr>
              <w:t>Year 3</w:t>
            </w:r>
          </w:p>
        </w:tc>
        <w:tc>
          <w:tcPr>
            <w:tcW w:type="dxa" w:w="3168"/>
          </w:tcPr>
          <w:p>
            <w:r/>
            <w:r>
              <w:rPr>
                <w:sz w:val="19"/>
              </w:rPr>
              <w:t>56 by month 36 (~53 avg ADC)</w:t>
            </w:r>
          </w:p>
        </w:tc>
        <w:tc>
          <w:tcPr>
            <w:tcW w:type="dxa" w:w="3888"/>
          </w:tcPr>
          <w:p>
            <w:r/>
            <w:r>
              <w:rPr>
                <w:sz w:val="19"/>
              </w:rPr>
              <w:t>All channels + organic</w:t>
            </w:r>
          </w:p>
        </w:tc>
      </w:tr>
    </w:tbl>
    <w:p>
      <w:r>
        <w:rPr>
          <w:b w:val="0"/>
          <w:i w:val="0"/>
          <w:sz w:val="21"/>
        </w:rPr>
        <w:t>All coverage figures in Section 11 use this conservative base path. Admissions ramp from the team's established East Texas referral relationships; discharges follow an average-length-of-stay-driven waterfall. A documented downside case (slower ramp) is presented in Section 11.7.</w:t>
      </w:r>
    </w:p>
    <w:p>
      <w:r>
        <w:br w:type="page"/>
      </w:r>
    </w:p>
    <w:p>
      <w:pPr>
        <w:pStyle w:val="Heading1"/>
        <w:keepNext/>
        <w:spacing w:after="80"/>
      </w:pPr>
      <w:r>
        <w:rPr>
          <w:b/>
          <w:color w:val="1F3864"/>
          <w:sz w:val="30"/>
        </w:rPr>
        <w:t>07 - Operations Plan</w:t>
      </w:r>
    </w:p>
    <w:p>
      <w:pPr>
        <w:pStyle w:val="Heading2"/>
        <w:keepNext/>
        <w:spacing w:before="160" w:after="40"/>
      </w:pPr>
      <w:r>
        <w:rPr>
          <w:b/>
          <w:color w:val="1F3864"/>
          <w:sz w:val="23"/>
        </w:rPr>
        <w:t>7.1 Service lines &amp; clinical model</w:t>
      </w:r>
    </w:p>
    <w:p>
      <w:r>
        <w:rPr>
          <w:b w:val="0"/>
          <w:i w:val="0"/>
          <w:sz w:val="21"/>
        </w:rPr>
        <w:t>Azalea delivers Routine Home Care (RHC) at patient homes, ALFs, and SNFs, with access to GIP (contracted inpatient beds), CHC, and Inpatient Respite, plus 12-month bereavement support per Medicare CoP. Care is delivered by an interdisciplinary group (IDG) - RN case manager, medical director, hospice aide, social worker, chaplain - meeting every 15 days, with 24/7 RN on-call coverage. A QAPI program runs monthly KPI dashboards.</w:t>
      </w:r>
    </w:p>
    <w:p>
      <w:pPr>
        <w:pStyle w:val="Heading2"/>
        <w:keepNext/>
        <w:spacing w:before="160" w:after="40"/>
      </w:pPr>
      <w:r>
        <w:rPr>
          <w:b/>
          <w:color w:val="1F3864"/>
          <w:sz w:val="23"/>
        </w:rPr>
        <w:t>7.2 Core staffing roster (Year 1)</w:t>
      </w:r>
    </w:p>
    <w:p>
      <w:r>
        <w:rPr>
          <w:b w:val="0"/>
          <w:i w:val="0"/>
          <w:sz w:val="21"/>
        </w:rPr>
        <w:t>Staggered W-2 hires plus a census-driven PRN pool. A benefits load of 22% plus 3% workers compensation applies to W-2 wages; Medical Directors are 1099 contractors. Officer salaries are separately stated and fully loaded into the model: Administrator $150,000, Director of Nursing $120,000, Community Liaison $120,000, Office Manager $60,000. The Year-1 roster is sized to the ramp (24 patients by month 2, 40 by month 12) within standard hospice staffing ratios and includes the Administrator, Director of Nursing, Community Liaison, Office Manager, RN case managers, hospice aides, and a 1099 Medical Director, with chaplain and social-work coverage from the PRN pool.</w:t>
      </w:r>
    </w:p>
    <w:p>
      <w:pPr>
        <w:pStyle w:val="Heading2"/>
        <w:keepNext/>
        <w:spacing w:before="160" w:after="40"/>
      </w:pPr>
      <w:r>
        <w:rPr>
          <w:b/>
          <w:color w:val="1F3864"/>
          <w:sz w:val="23"/>
        </w:rPr>
        <w:t>7.3 Capacity-driven hiring (Years 2-3)</w:t>
      </w:r>
    </w:p>
    <w:p>
      <w:r>
        <w:rPr>
          <w:b w:val="0"/>
          <w:i w:val="0"/>
          <w:sz w:val="21"/>
        </w:rPr>
        <w:t>As census grows toward 56 patients, the roster scales on census triggers (RN caseload 1:12; aide 1:10), converting PRN roles to salaried and adding compliance, intake, and volunteer-coordinator support. Additional RN case managers and CNAs load in as census crosses their thresholds; FT social worker and chaplain convert from PRN; and quality/compliance and intake support are added as volume warrants. Nursing, aide, chaplain, and social-work FTEs scale with census on standard hospice staffing ratios, and per-patient costs (pharmacy, DME, supplies) are per-patient-day rates from the line-item budget.</w:t>
      </w:r>
    </w:p>
    <w:p>
      <w:pPr>
        <w:pStyle w:val="Heading2"/>
        <w:keepNext/>
        <w:spacing w:before="160" w:after="40"/>
      </w:pPr>
      <w:r>
        <w:rPr>
          <w:b/>
          <w:color w:val="1F3864"/>
          <w:sz w:val="23"/>
        </w:rPr>
        <w:t>7.4 Facility &amp; technology</w:t>
      </w:r>
    </w:p>
    <w:p>
      <w:r>
        <w:rPr>
          <w:b w:val="0"/>
          <w:i w:val="0"/>
          <w:sz w:val="21"/>
        </w:rPr>
        <w:t>Principal office in the Tyler, TX area (go-forward lease assumption in the model). Hours M-F 8-5 with 24/7/365 on-call; ~45-mile service radius. EMR, PCR, and outsourced billing run on the platform reflected in G&amp;A. Field travel is mileage-reimbursed initially; an owned fleet is evaluated in Year 2.</w:t>
      </w:r>
    </w:p>
    <w:p>
      <w:r>
        <w:br w:type="page"/>
      </w:r>
    </w:p>
    <w:p>
      <w:pPr>
        <w:pStyle w:val="Heading1"/>
        <w:keepNext/>
        <w:spacing w:after="80"/>
      </w:pPr>
      <w:r>
        <w:rPr>
          <w:b/>
          <w:color w:val="1F3864"/>
          <w:sz w:val="30"/>
        </w:rPr>
        <w:t>08 - Management and Organization</w:t>
      </w:r>
    </w:p>
    <w:p>
      <w:r>
        <w:rPr>
          <w:b w:val="0"/>
          <w:i w:val="0"/>
          <w:sz w:val="21"/>
        </w:rPr>
        <w:t>Azalea is operated by an experienced, already-seated team whose established East-Texas referral relationships are a key de-risking factor. Officer salaries are fully loaded into the projections as expenses (no compensation is omitted, per SBA requirements).</w:t>
      </w:r>
    </w:p>
    <w:p>
      <w:pPr>
        <w:pStyle w:val="Heading2"/>
        <w:keepNext/>
        <w:spacing w:before="160" w:after="40"/>
      </w:pPr>
      <w:r>
        <w:rPr>
          <w:b/>
          <w:color w:val="1F3864"/>
          <w:sz w:val="23"/>
        </w:rPr>
        <w:t>8.1 Ownership &amp; reporting structure</w:t>
      </w:r>
    </w:p>
    <w:p>
      <w:r>
        <w:rPr>
          <w:b w:val="0"/>
          <w:i w:val="0"/>
          <w:sz w:val="21"/>
        </w:rPr>
        <w:t>Tyler Hospice Hold, LLC (Wyoming holding company) is acquiring 100% of Avant Hospice, LLC (Texas operating subsidiary) in two steps per 42 CFR 424.550(b); the subsidiary does business as Azalea Hospice &amp; Palliative Care. The Administrator leads operations; the Director of Nursing leads the clinical team; the Community Liaison leads business development. Mr. Bullard is a passive investor with protective minority rights but no management authority or signing power.</w:t>
      </w:r>
    </w:p>
    <w:tbl>
      <w:tblPr>
        <w:tblStyle w:val="LightGrid-Accent1"/>
        <w:tblW w:type="auto" w:w="0"/>
        <w:jc w:val="left"/>
        <w:tblLook w:firstColumn="1" w:firstRow="1" w:lastColumn="0" w:lastRow="0" w:noHBand="0" w:noVBand="1" w:val="04A0"/>
      </w:tblPr>
      <w:tblGrid>
        <w:gridCol w:w="2160"/>
        <w:gridCol w:w="2160"/>
        <w:gridCol w:w="2160"/>
        <w:gridCol w:w="2160"/>
      </w:tblGrid>
      <w:tr>
        <w:trPr>
          <w:tblHeader w:val="true"/>
        </w:trPr>
        <w:tc>
          <w:tcPr>
            <w:tcW w:type="dxa" w:w="2448"/>
          </w:tcPr>
          <w:p>
            <w:r/>
            <w:r>
              <w:rPr>
                <w:b/>
                <w:sz w:val="19"/>
              </w:rPr>
              <w:t>Entity / person</w:t>
            </w:r>
          </w:p>
        </w:tc>
        <w:tc>
          <w:tcPr>
            <w:tcW w:type="dxa" w:w="3168"/>
          </w:tcPr>
          <w:p>
            <w:r/>
            <w:r>
              <w:rPr>
                <w:b/>
                <w:sz w:val="19"/>
              </w:rPr>
              <w:t>Role</w:t>
            </w:r>
          </w:p>
        </w:tc>
        <w:tc>
          <w:tcPr>
            <w:tcW w:type="dxa" w:w="1152"/>
          </w:tcPr>
          <w:p>
            <w:r/>
            <w:r>
              <w:rPr>
                <w:b/>
                <w:sz w:val="19"/>
              </w:rPr>
              <w:t>Interest</w:t>
            </w:r>
          </w:p>
        </w:tc>
        <w:tc>
          <w:tcPr>
            <w:tcW w:type="dxa" w:w="2592"/>
          </w:tcPr>
          <w:p>
            <w:r/>
            <w:r>
              <w:rPr>
                <w:b/>
                <w:sz w:val="19"/>
              </w:rPr>
              <w:t>Reports to</w:t>
            </w:r>
          </w:p>
        </w:tc>
      </w:tr>
      <w:tr>
        <w:tc>
          <w:tcPr>
            <w:tcW w:type="dxa" w:w="2448"/>
          </w:tcPr>
          <w:p>
            <w:r/>
            <w:r>
              <w:rPr>
                <w:sz w:val="19"/>
              </w:rPr>
              <w:t>Geoff Schackmann</w:t>
            </w:r>
          </w:p>
        </w:tc>
        <w:tc>
          <w:tcPr>
            <w:tcW w:type="dxa" w:w="3168"/>
          </w:tcPr>
          <w:p>
            <w:r/>
            <w:r>
              <w:rPr>
                <w:sz w:val="19"/>
              </w:rPr>
              <w:t>Manager (direct individual owner)</w:t>
            </w:r>
          </w:p>
        </w:tc>
        <w:tc>
          <w:tcPr>
            <w:tcW w:type="dxa" w:w="1152"/>
          </w:tcPr>
          <w:p>
            <w:r/>
            <w:r>
              <w:rPr>
                <w:sz w:val="19"/>
              </w:rPr>
              <w:t>39.9%</w:t>
            </w:r>
          </w:p>
        </w:tc>
        <w:tc>
          <w:tcPr>
            <w:tcW w:type="dxa" w:w="2592"/>
          </w:tcPr>
          <w:p>
            <w:r/>
            <w:r>
              <w:rPr>
                <w:sz w:val="19"/>
              </w:rPr>
              <w:t>-</w:t>
            </w:r>
          </w:p>
        </w:tc>
      </w:tr>
      <w:tr>
        <w:tc>
          <w:tcPr>
            <w:tcW w:type="dxa" w:w="2448"/>
          </w:tcPr>
          <w:p>
            <w:r/>
            <w:r>
              <w:rPr>
                <w:sz w:val="19"/>
              </w:rPr>
              <w:t>Silas R. Shelton</w:t>
            </w:r>
          </w:p>
        </w:tc>
        <w:tc>
          <w:tcPr>
            <w:tcW w:type="dxa" w:w="3168"/>
          </w:tcPr>
          <w:p>
            <w:r/>
            <w:r>
              <w:rPr>
                <w:sz w:val="19"/>
              </w:rPr>
              <w:t>Administrator / Executive Director</w:t>
            </w:r>
          </w:p>
        </w:tc>
        <w:tc>
          <w:tcPr>
            <w:tcW w:type="dxa" w:w="1152"/>
          </w:tcPr>
          <w:p>
            <w:r/>
            <w:r>
              <w:rPr>
                <w:sz w:val="19"/>
              </w:rPr>
              <w:t>13.3%</w:t>
            </w:r>
          </w:p>
        </w:tc>
        <w:tc>
          <w:tcPr>
            <w:tcW w:type="dxa" w:w="2592"/>
          </w:tcPr>
          <w:p>
            <w:r/>
            <w:r>
              <w:rPr>
                <w:sz w:val="19"/>
              </w:rPr>
              <w:t>Manager</w:t>
            </w:r>
          </w:p>
        </w:tc>
      </w:tr>
      <w:tr>
        <w:tc>
          <w:tcPr>
            <w:tcW w:type="dxa" w:w="2448"/>
          </w:tcPr>
          <w:p>
            <w:r/>
            <w:r>
              <w:rPr>
                <w:sz w:val="19"/>
              </w:rPr>
              <w:t>Dana L. Davenport</w:t>
            </w:r>
          </w:p>
        </w:tc>
        <w:tc>
          <w:tcPr>
            <w:tcW w:type="dxa" w:w="3168"/>
          </w:tcPr>
          <w:p>
            <w:r/>
            <w:r>
              <w:rPr>
                <w:sz w:val="19"/>
              </w:rPr>
              <w:t>Director of Nursing</w:t>
            </w:r>
          </w:p>
        </w:tc>
        <w:tc>
          <w:tcPr>
            <w:tcW w:type="dxa" w:w="1152"/>
          </w:tcPr>
          <w:p>
            <w:r/>
            <w:r>
              <w:rPr>
                <w:sz w:val="19"/>
              </w:rPr>
              <w:t>13.3%</w:t>
            </w:r>
          </w:p>
        </w:tc>
        <w:tc>
          <w:tcPr>
            <w:tcW w:type="dxa" w:w="2592"/>
          </w:tcPr>
          <w:p>
            <w:r/>
            <w:r>
              <w:rPr>
                <w:sz w:val="19"/>
              </w:rPr>
              <w:t>Administrator</w:t>
            </w:r>
          </w:p>
        </w:tc>
      </w:tr>
      <w:tr>
        <w:tc>
          <w:tcPr>
            <w:tcW w:type="dxa" w:w="2448"/>
          </w:tcPr>
          <w:p>
            <w:r/>
            <w:r>
              <w:rPr>
                <w:sz w:val="19"/>
              </w:rPr>
              <w:t>Bradley G. Woodard</w:t>
            </w:r>
          </w:p>
        </w:tc>
        <w:tc>
          <w:tcPr>
            <w:tcW w:type="dxa" w:w="3168"/>
          </w:tcPr>
          <w:p>
            <w:r/>
            <w:r>
              <w:rPr>
                <w:sz w:val="19"/>
              </w:rPr>
              <w:t>Community Liaison / Director of Sales</w:t>
            </w:r>
          </w:p>
        </w:tc>
        <w:tc>
          <w:tcPr>
            <w:tcW w:type="dxa" w:w="1152"/>
          </w:tcPr>
          <w:p>
            <w:r/>
            <w:r>
              <w:rPr>
                <w:sz w:val="19"/>
              </w:rPr>
              <w:t>13.3%</w:t>
            </w:r>
          </w:p>
        </w:tc>
        <w:tc>
          <w:tcPr>
            <w:tcW w:type="dxa" w:w="2592"/>
          </w:tcPr>
          <w:p>
            <w:r/>
            <w:r>
              <w:rPr>
                <w:sz w:val="19"/>
              </w:rPr>
              <w:t>Administrator</w:t>
            </w:r>
          </w:p>
        </w:tc>
      </w:tr>
      <w:tr>
        <w:tc>
          <w:tcPr>
            <w:tcW w:type="dxa" w:w="2448"/>
          </w:tcPr>
          <w:p>
            <w:r/>
            <w:r>
              <w:rPr>
                <w:sz w:val="19"/>
              </w:rPr>
              <w:t>James E. Bullard</w:t>
            </w:r>
          </w:p>
        </w:tc>
        <w:tc>
          <w:tcPr>
            <w:tcW w:type="dxa" w:w="3168"/>
          </w:tcPr>
          <w:p>
            <w:r/>
            <w:r>
              <w:rPr>
                <w:sz w:val="19"/>
              </w:rPr>
              <w:t>Passive minority investor</w:t>
            </w:r>
          </w:p>
        </w:tc>
        <w:tc>
          <w:tcPr>
            <w:tcW w:type="dxa" w:w="1152"/>
          </w:tcPr>
          <w:p>
            <w:r/>
            <w:r>
              <w:rPr>
                <w:sz w:val="19"/>
              </w:rPr>
              <w:t>19.5%</w:t>
            </w:r>
          </w:p>
        </w:tc>
        <w:tc>
          <w:tcPr>
            <w:tcW w:type="dxa" w:w="2592"/>
          </w:tcPr>
          <w:p>
            <w:r/>
            <w:r>
              <w:rPr>
                <w:sz w:val="19"/>
              </w:rPr>
              <w:t>No operational role</w:t>
            </w:r>
          </w:p>
        </w:tc>
      </w:tr>
    </w:tbl>
    <w:p>
      <w:pPr>
        <w:pStyle w:val="Heading2"/>
        <w:keepNext/>
        <w:spacing w:before="160" w:after="40"/>
      </w:pPr>
      <w:r>
        <w:rPr>
          <w:b/>
          <w:color w:val="1F3864"/>
          <w:sz w:val="23"/>
        </w:rPr>
        <w:t>8.2 Decision authority</w:t>
      </w:r>
    </w:p>
    <w:p>
      <w:pPr>
        <w:pStyle w:val="ListBullet"/>
      </w:pPr>
      <w:r>
        <w:rPr>
          <w:sz w:val="21"/>
        </w:rPr>
        <w:t>Operating within budget ($0-$10K): Administrator (Shelton)</w:t>
      </w:r>
    </w:p>
    <w:p>
      <w:pPr>
        <w:pStyle w:val="ListBullet"/>
      </w:pPr>
      <w:r>
        <w:rPr>
          <w:sz w:val="21"/>
        </w:rPr>
        <w:t>Above $10K or out-of-budget: Manager (Schackmann, individually)</w:t>
      </w:r>
    </w:p>
    <w:p>
      <w:pPr>
        <w:pStyle w:val="ListBullet"/>
      </w:pPr>
      <w:r>
        <w:rPr>
          <w:sz w:val="21"/>
        </w:rPr>
        <w:t>Clinical / regulatory: Director of Nursing (Davenport), escalated to Administrator + Medical Director</w:t>
      </w:r>
    </w:p>
    <w:p>
      <w:pPr>
        <w:pStyle w:val="ListBullet"/>
      </w:pPr>
      <w:r>
        <w:rPr>
          <w:sz w:val="21"/>
        </w:rPr>
        <w:t>Hiring / firing senior staff: Administrator, with Manager concurrence</w:t>
      </w:r>
    </w:p>
    <w:p>
      <w:pPr>
        <w:pStyle w:val="ListBullet"/>
      </w:pPr>
      <w:r>
        <w:rPr>
          <w:sz w:val="21"/>
        </w:rPr>
        <w:t>Strategic / capital / acquisition: Manager</w:t>
      </w:r>
    </w:p>
    <w:p>
      <w:pPr>
        <w:pStyle w:val="ListBullet"/>
      </w:pPr>
      <w:r>
        <w:rPr>
          <w:sz w:val="21"/>
        </w:rPr>
        <w:t>Bank account signatures: Manager (sole signer)</w:t>
      </w:r>
    </w:p>
    <w:p>
      <w:pPr>
        <w:pStyle w:val="Heading2"/>
        <w:keepNext/>
        <w:spacing w:before="160" w:after="40"/>
      </w:pPr>
      <w:r>
        <w:rPr>
          <w:b/>
          <w:color w:val="1F3864"/>
          <w:sz w:val="23"/>
        </w:rPr>
        <w:t>8.3 Equity vesting (operator-members)</w:t>
      </w:r>
    </w:p>
    <w:p>
      <w:r>
        <w:rPr>
          <w:b w:val="0"/>
          <w:i w:val="0"/>
          <w:sz w:val="21"/>
        </w:rPr>
        <w:t>Each operator-member's 13.3% interest is a Restricted Interest under the Operating Agreement. The entire 13.3% is at risk and forfeitable until vested. It comprises a 4.9% Initial Base that time-vests on continuous service (four-year schedule, one-year cliff) and an 8.4% Earn-Up Portion that vests only on a dual trigger: a four-year time-vesting schedule with a one-year cliff AND the performance milestones (25% at Breakeven, 50% at three consecutive Profitable months, 25% at twelve consecutive Profitable months), with the lesser of the two schedules governing - so no portion is vested at inception and each operator may earn up to a fully-vested 13.3%. Each grantee files a timely IRC Section 83(b) election. On departure, unvested interests are forfeited at $0; the Company holds a repurchase (call) right over vested interests - at fair market value for a good-leaver separation (termination without cause, death, disability, or retirement) and at the lower of cost or fair market value for a bad-leaver separation (resignation before full vesting, or termination for cause), paid via an SBA-subordinated note. This keeps operator equity aligned with the credit's performance and ensures departed operators do not retain equity in the company.</w:t>
      </w:r>
    </w:p>
    <w:p>
      <w:r>
        <w:br w:type="page"/>
      </w:r>
    </w:p>
    <w:p>
      <w:pPr>
        <w:pStyle w:val="Heading1"/>
        <w:keepNext/>
        <w:spacing w:after="80"/>
      </w:pPr>
      <w:r>
        <w:rPr>
          <w:b/>
          <w:color w:val="1F3864"/>
          <w:sz w:val="30"/>
        </w:rPr>
        <w:t>09 - Leadership Team</w:t>
      </w:r>
    </w:p>
    <w:p>
      <w:pPr>
        <w:pStyle w:val="Heading2"/>
        <w:keepNext/>
        <w:spacing w:before="160" w:after="40"/>
      </w:pPr>
      <w:r>
        <w:rPr>
          <w:b/>
          <w:color w:val="1F3864"/>
          <w:sz w:val="23"/>
        </w:rPr>
        <w:t>Geoff Schackmann - Manager (direct individual owner, 39.9%)</w:t>
      </w:r>
    </w:p>
    <w:p>
      <w:r>
        <w:rPr>
          <w:b w:val="0"/>
          <w:i w:val="0"/>
          <w:sz w:val="21"/>
        </w:rPr>
        <w:t>Multi-hospice operator and transaction-led growth leader with operational responsibility for Medicare-certified hospice and palliative-care agencies across multiple states. Direct individual owner of a 39.9% interest in Tyler Hospice Hold, LLC and its Manager. Direct experience includes change-of-ownership (CHOW) transactions and post-CHOW enrollment oversight, census growth from sub-30 to 100+ ADC under existing Medicare provider numbers, multi-site clinical operations under Texas HCSSA and Oregon hospice licensure, CHAP and Joint Commission accreditation, acquisition due diligence (clinical, financial, regulatory), and lender/investor relationships across SBA 7(a), conventional, and mezzanine structures. Leads transaction structuring, financing, capital allocation, and post-close integration. Sole 20%+ owner and SBA personal guarantor.</w:t>
      </w:r>
    </w:p>
    <w:p>
      <w:pPr>
        <w:pStyle w:val="Heading2"/>
        <w:keepNext/>
        <w:spacing w:before="160" w:after="40"/>
      </w:pPr>
      <w:r>
        <w:rPr>
          <w:b/>
          <w:color w:val="1F3864"/>
          <w:sz w:val="23"/>
        </w:rPr>
        <w:t>Bradley G. Woodard - Community Liaison / Director of Sales (13.3%)</w:t>
      </w:r>
    </w:p>
    <w:p>
      <w:r>
        <w:rPr>
          <w:b w:val="0"/>
          <w:i w:val="0"/>
          <w:sz w:val="21"/>
        </w:rPr>
        <w:t>More than 25 years of East-Texas hospice business development and administration. Founding administrator of one of the Tyler market's largest hospices (licensed 2004; grown to 220 patients, 109 employees, and 62 volunteers), with subsequent census-building roles across multiple East-Texas agencies - including start-ups in Lufkin/Nacogdoches (0-&gt;48 in six months; 12-&gt;70+) and Grace Hospice of East Texas (8-&gt;145+). Most recently VP of Business Development for an East-Texas hospice (2021-present), sustaining a 40+ ADC book for 4.5 years, with no non-compete restricting his transition to Azalea. Licensed Nursing Home Administrator (LNFA #7136); B.S., Texas A&amp;M University.</w:t>
      </w:r>
    </w:p>
    <w:p>
      <w:pPr>
        <w:pStyle w:val="Heading2"/>
        <w:keepNext/>
        <w:spacing w:before="160" w:after="40"/>
      </w:pPr>
      <w:r>
        <w:rPr>
          <w:b/>
          <w:color w:val="1F3864"/>
          <w:sz w:val="23"/>
        </w:rPr>
        <w:t>Silas R. Shelton - Administrator / Executive Director (13.3%)</w:t>
      </w:r>
    </w:p>
    <w:p>
      <w:r>
        <w:rPr>
          <w:b w:val="0"/>
          <w:i w:val="0"/>
          <w:sz w:val="21"/>
        </w:rPr>
        <w:t>Operational leadership of Azalea Hospice &amp; Palliative Care, with day-to-day responsibility for regulatory compliance under Texas HCSSA and the Medicare Conditions of Participation, payer-mix management, referral-source partnerships across Smith County and surrounding East-Texas counties, and overall site leadership. Direct reports include the Director of Nursing, the Community Liaison, and the full clinical and operational team.</w:t>
      </w:r>
    </w:p>
    <w:p>
      <w:pPr>
        <w:pStyle w:val="Heading2"/>
        <w:keepNext/>
        <w:spacing w:before="160" w:after="40"/>
      </w:pPr>
      <w:r>
        <w:rPr>
          <w:b/>
          <w:color w:val="1F3864"/>
          <w:sz w:val="23"/>
        </w:rPr>
        <w:t>Dana L. Davenport - Director of Nursing (13.3%)</w:t>
      </w:r>
    </w:p>
    <w:p>
      <w:r>
        <w:rPr>
          <w:b w:val="0"/>
          <w:i w:val="0"/>
          <w:sz w:val="21"/>
        </w:rPr>
        <w:t>Clinical leadership of the Azalea nursing team, responsible for Medicare Conditions of Participation compliance, interdisciplinary group (IDG) oversight, plan-of-care management, and clinical quality (QAPI). Leads RN case managers, hospice aides, social workers, and chaplains across the service area.</w:t>
      </w:r>
    </w:p>
    <w:p>
      <w:pPr>
        <w:pStyle w:val="Heading2"/>
        <w:keepNext/>
        <w:spacing w:before="160" w:after="40"/>
      </w:pPr>
      <w:r>
        <w:rPr>
          <w:b/>
          <w:color w:val="1F3864"/>
          <w:sz w:val="23"/>
        </w:rPr>
        <w:t>Investor</w:t>
      </w:r>
    </w:p>
    <w:p>
      <w:r>
        <w:rPr>
          <w:b w:val="0"/>
          <w:i w:val="0"/>
          <w:sz w:val="21"/>
        </w:rPr>
        <w:t>James E. Bullard is a passive minority investor holding a 19.5% membership interest acquired for a $195,000 cash capital contribution (his own savings), part of the $250,000 total equity injection. He holds customary protective minority rights (information rights, anti-dilution with a 19.5% floor, voting on a defined set of fundamental Reserved Matters, and tag-along rights) but has no management authority, no operational or clinical role, and no signing power. His consent is not required for SBA-loan actions, and his buy-sell rights are suspended while the SBA loan is outstanding. As a sub-20% non-controlling member, he provides no SBA personal guaranty (13 CFR 120.160).</w:t>
      </w:r>
    </w:p>
    <w:p>
      <w:r>
        <w:br w:type="page"/>
      </w:r>
    </w:p>
    <w:p>
      <w:pPr>
        <w:pStyle w:val="Heading1"/>
        <w:keepNext/>
        <w:spacing w:after="80"/>
      </w:pPr>
      <w:r>
        <w:rPr>
          <w:b/>
          <w:color w:val="1F3864"/>
          <w:sz w:val="30"/>
        </w:rPr>
        <w:t>10 - Acquisition and Launch Strategy</w:t>
      </w:r>
    </w:p>
    <w:p>
      <w:pPr>
        <w:pStyle w:val="Heading2"/>
        <w:keepNext/>
        <w:spacing w:before="160" w:after="40"/>
      </w:pPr>
      <w:r>
        <w:rPr>
          <w:b/>
          <w:color w:val="1F3864"/>
          <w:sz w:val="23"/>
        </w:rPr>
        <w:t>10.1 The Avant acquisition structure</w:t>
      </w:r>
    </w:p>
    <w:p>
      <w:r>
        <w:rPr>
          <w:b w:val="0"/>
          <w:i w:val="0"/>
          <w:sz w:val="21"/>
        </w:rPr>
        <w:t>The transaction is the acquisition of 100% of the membership interests of Avant Hospice, LLC, a Texas LLC, Medicare-certified (CMS CCN 741798, NPI 1699350090, TX HHSC license 020708), for $300,000 on terms confirmed with the seller on May 5, 2026 and improved since. The seller is Kimberly Carlisle, sole member. All membership interests transfer at CHOW approval, placing the license fully in the borrower name from day one. The seller carries the entire $300,000 at 6% simple interest with no down payment and no installments - every payment is deferred until Medicare prepayment review clears - and the note is prepayable without penalty. The requested SBA loan funds at month 2 and retires the note in full (~$303,000 including accrued interest). Azalea files the applicable CMS-855A ownership-change updates and moves banking, EMR, and insurance into the new ownership structure at closing.</w:t>
      </w:r>
    </w:p>
    <w:p>
      <w:pPr>
        <w:pStyle w:val="Heading2"/>
        <w:keepNext/>
        <w:spacing w:before="160" w:after="40"/>
      </w:pPr>
      <w:r>
        <w:rPr>
          <w:b/>
          <w:color w:val="1F3864"/>
          <w:sz w:val="23"/>
        </w:rPr>
        <w:t>10.2 Prior target (history)</w:t>
      </w:r>
    </w:p>
    <w:p>
      <w:r>
        <w:rPr>
          <w:b w:val="0"/>
          <w:i w:val="0"/>
          <w:sz w:val="21"/>
        </w:rPr>
        <w:t>The Company's previously contracted target, Hickory Hospice, LLC ($300,000 purchase price, Medicare-only certification), failed its state site survey and that transaction was terminated. An interim second target (a $500,000 dual-certified license) was evaluated and set aside on capital-efficiency grounds. The Avant acquisition delivers a clean, never-billed Medicare certification at a $300,000 price inside the market band, with fully deferred seller financing. The prior dual-loan financing structure is superseded by the single SBA 7(a) request in this plan.</w:t>
      </w:r>
    </w:p>
    <w:p>
      <w:pPr>
        <w:pStyle w:val="Heading2"/>
        <w:keepNext/>
        <w:spacing w:before="160" w:after="40"/>
      </w:pPr>
      <w:r>
        <w:rPr>
          <w:b/>
          <w:color w:val="1F3864"/>
          <w:sz w:val="23"/>
        </w:rPr>
        <w:t>10.3 Billing readiness &amp; revenue ramp</w:t>
      </w:r>
    </w:p>
    <w:p>
      <w:r>
        <w:rPr>
          <w:b w:val="0"/>
          <w:i w:val="0"/>
          <w:sz w:val="21"/>
        </w:rPr>
        <w:t>Avant is certified, and CHOW approval places the existing enrollment in the borrower name - there is no new-provider enrollment application. Because the agency has never billed, first claims enter prepayment review (42 CFR 424.527); the working-capital reserve is sized for that window (base 2-month hold; 4-month downside disclosed). Avant has no current operations, so the revenue plan is a census build, not a panel transfer: admissions ramp from the leadership team's established East-Texas referral relationships to 24 patients by month 2, 34 by month 6, and 40 by month 12. The model's per-diem economics and cost structure are benchmarked to the team's own prior Tyler-market book (April-June 2025 actuals), so the ramp is a return to census levels this team has already operated at in this market.</w:t>
      </w:r>
    </w:p>
    <w:p>
      <w:pPr>
        <w:pStyle w:val="Heading2"/>
        <w:keepNext/>
        <w:spacing w:before="160" w:after="40"/>
      </w:pPr>
      <w:r>
        <w:rPr>
          <w:b/>
          <w:color w:val="1F3864"/>
          <w:sz w:val="23"/>
        </w:rPr>
        <w:t>10.4 Affiliate disclosure</w:t>
      </w:r>
    </w:p>
    <w:p>
      <w:r>
        <w:rPr>
          <w:b w:val="0"/>
          <w:i w:val="0"/>
          <w:sz w:val="21"/>
        </w:rPr>
        <w:t>The borrower's affiliate group consists of the borrower and its operating subsidiary Avant Hospice, LLC - well within the applicable SBA size standard. The controlling owner (Geoff Schackmann, direct individual 39.9% owner) previously held a 33.33% interest in VistaRiver Inc, which he sold in August 2025; he retains only a passive seller-note receivable (no equity, officer, manager, or employee role), so VistaRiver is not an SBA affiliate. A separate Affiliate and Size-Standard memorandum is included in the application package.</w:t>
      </w:r>
    </w:p>
    <w:p>
      <w:pPr>
        <w:pStyle w:val="Heading2"/>
        <w:keepNext/>
        <w:spacing w:before="160" w:after="40"/>
      </w:pPr>
      <w:r>
        <w:rPr>
          <w:b/>
          <w:color w:val="1F3864"/>
          <w:sz w:val="23"/>
        </w:rPr>
        <w:t>10.5 Launch timeline &amp; equity-injection coordination</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1872"/>
          </w:tcPr>
          <w:p>
            <w:r/>
            <w:r>
              <w:rPr>
                <w:b/>
                <w:sz w:val="19"/>
              </w:rPr>
              <w:t>Window</w:t>
            </w:r>
          </w:p>
        </w:tc>
        <w:tc>
          <w:tcPr>
            <w:tcW w:type="dxa" w:w="2304"/>
          </w:tcPr>
          <w:p>
            <w:r/>
            <w:r>
              <w:rPr>
                <w:b/>
                <w:sz w:val="19"/>
              </w:rPr>
              <w:t>Phase</w:t>
            </w:r>
          </w:p>
        </w:tc>
        <w:tc>
          <w:tcPr>
            <w:tcW w:type="dxa" w:w="5184"/>
          </w:tcPr>
          <w:p>
            <w:r/>
            <w:r>
              <w:rPr>
                <w:b/>
                <w:sz w:val="19"/>
              </w:rPr>
              <w:t>Key activities</w:t>
            </w:r>
          </w:p>
        </w:tc>
      </w:tr>
      <w:tr>
        <w:tc>
          <w:tcPr>
            <w:tcW w:type="dxa" w:w="1872"/>
          </w:tcPr>
          <w:p>
            <w:r/>
            <w:r>
              <w:rPr>
                <w:sz w:val="19"/>
              </w:rPr>
              <w:t>Pre-close</w:t>
            </w:r>
          </w:p>
        </w:tc>
        <w:tc>
          <w:tcPr>
            <w:tcW w:type="dxa" w:w="2304"/>
          </w:tcPr>
          <w:p>
            <w:r/>
            <w:r>
              <w:rPr>
                <w:sz w:val="19"/>
              </w:rPr>
              <w:t>Equity injection</w:t>
            </w:r>
          </w:p>
        </w:tc>
        <w:tc>
          <w:tcPr>
            <w:tcW w:type="dxa" w:w="5184"/>
          </w:tcPr>
          <w:p>
            <w:r/>
            <w:r>
              <w:rPr>
                <w:sz w:val="19"/>
              </w:rPr>
              <w:t>Full $250,000 on deposit: Bullard $195,000 ($100K wired 5/7/2026) + Schackmann $55,000</w:t>
            </w:r>
          </w:p>
        </w:tc>
      </w:tr>
      <w:tr>
        <w:tc>
          <w:tcPr>
            <w:tcW w:type="dxa" w:w="1872"/>
          </w:tcPr>
          <w:p>
            <w:r/>
            <w:r>
              <w:rPr>
                <w:sz w:val="19"/>
              </w:rPr>
              <w:t>At CHOW approval</w:t>
            </w:r>
          </w:p>
        </w:tc>
        <w:tc>
          <w:tcPr>
            <w:tcW w:type="dxa" w:w="2304"/>
          </w:tcPr>
          <w:p>
            <w:r/>
            <w:r>
              <w:rPr>
                <w:sz w:val="19"/>
              </w:rPr>
              <w:t>Closing (100%)</w:t>
            </w:r>
          </w:p>
        </w:tc>
        <w:tc>
          <w:tcPr>
            <w:tcW w:type="dxa" w:w="5184"/>
          </w:tcPr>
          <w:p>
            <w:r/>
            <w:r>
              <w:rPr>
                <w:sz w:val="19"/>
              </w:rPr>
              <w:t>All membership interests transfer; no cash due at close; banking, EMR, and insurance stand-up; staff credentialing</w:t>
            </w:r>
          </w:p>
        </w:tc>
      </w:tr>
      <w:tr>
        <w:tc>
          <w:tcPr>
            <w:tcW w:type="dxa" w:w="1872"/>
          </w:tcPr>
          <w:p>
            <w:r/>
            <w:r>
              <w:rPr>
                <w:sz w:val="19"/>
              </w:rPr>
              <w:t>Month 2</w:t>
            </w:r>
          </w:p>
        </w:tc>
        <w:tc>
          <w:tcPr>
            <w:tcW w:type="dxa" w:w="2304"/>
          </w:tcPr>
          <w:p>
            <w:r/>
            <w:r>
              <w:rPr>
                <w:sz w:val="19"/>
              </w:rPr>
              <w:t>SBA funding &amp; seller takeout</w:t>
            </w:r>
          </w:p>
        </w:tc>
        <w:tc>
          <w:tcPr>
            <w:tcW w:type="dxa" w:w="5184"/>
          </w:tcPr>
          <w:p>
            <w:r/>
            <w:r>
              <w:rPr>
                <w:sz w:val="19"/>
              </w:rPr>
              <w:t>SBA loan funds (license already 100% in borrower name); seller note (~$303,000) retired; single $6,747/mo payment after</w:t>
            </w:r>
          </w:p>
        </w:tc>
      </w:tr>
      <w:tr>
        <w:tc>
          <w:tcPr>
            <w:tcW w:type="dxa" w:w="1872"/>
          </w:tcPr>
          <w:p>
            <w:r/>
            <w:r>
              <w:rPr>
                <w:sz w:val="19"/>
              </w:rPr>
              <w:t>Months 1-6</w:t>
            </w:r>
          </w:p>
        </w:tc>
        <w:tc>
          <w:tcPr>
            <w:tcW w:type="dxa" w:w="2304"/>
          </w:tcPr>
          <w:p>
            <w:r/>
            <w:r>
              <w:rPr>
                <w:sz w:val="19"/>
              </w:rPr>
              <w:t>BD ramp</w:t>
            </w:r>
          </w:p>
        </w:tc>
        <w:tc>
          <w:tcPr>
            <w:tcW w:type="dxa" w:w="5184"/>
          </w:tcPr>
          <w:p>
            <w:r/>
            <w:r>
              <w:rPr>
                <w:sz w:val="19"/>
              </w:rPr>
              <w:t>Woodard-led weekly referral cadence; census 24 by month 2, 34 by month 6; AR normalizes to ~45-day Medicare cycle</w:t>
            </w:r>
          </w:p>
        </w:tc>
      </w:tr>
      <w:tr>
        <w:tc>
          <w:tcPr>
            <w:tcW w:type="dxa" w:w="1872"/>
          </w:tcPr>
          <w:p>
            <w:r/>
            <w:r>
              <w:rPr>
                <w:sz w:val="19"/>
              </w:rPr>
              <w:t>Months 2-6</w:t>
            </w:r>
          </w:p>
        </w:tc>
        <w:tc>
          <w:tcPr>
            <w:tcW w:type="dxa" w:w="2304"/>
          </w:tcPr>
          <w:p>
            <w:r/>
            <w:r>
              <w:rPr>
                <w:sz w:val="19"/>
              </w:rPr>
              <w:t>Prepayment review</w:t>
            </w:r>
          </w:p>
        </w:tc>
        <w:tc>
          <w:tcPr>
            <w:tcW w:type="dxa" w:w="5184"/>
          </w:tcPr>
          <w:p>
            <w:r/>
            <w:r>
              <w:rPr>
                <w:sz w:val="19"/>
              </w:rPr>
              <w:t>First claims under 42 CFR 424.527 review; held claims release as review clears; reserve carries payroll</w:t>
            </w:r>
          </w:p>
        </w:tc>
      </w:tr>
      <w:tr>
        <w:tc>
          <w:tcPr>
            <w:tcW w:type="dxa" w:w="1872"/>
          </w:tcPr>
          <w:p>
            <w:r/>
            <w:r>
              <w:rPr>
                <w:sz w:val="19"/>
              </w:rPr>
              <w:t>Months 7-12+</w:t>
            </w:r>
          </w:p>
        </w:tc>
        <w:tc>
          <w:tcPr>
            <w:tcW w:type="dxa" w:w="2304"/>
          </w:tcPr>
          <w:p>
            <w:r/>
            <w:r>
              <w:rPr>
                <w:sz w:val="19"/>
              </w:rPr>
              <w:t>Growth</w:t>
            </w:r>
          </w:p>
        </w:tc>
        <w:tc>
          <w:tcPr>
            <w:tcW w:type="dxa" w:w="5184"/>
          </w:tcPr>
          <w:p>
            <w:r/>
            <w:r>
              <w:rPr>
                <w:sz w:val="19"/>
              </w:rPr>
              <w:t>Census to 40 by month 12; capacity hires triggered by census thresholds; coverage rising</w:t>
            </w:r>
          </w:p>
        </w:tc>
      </w:tr>
    </w:tbl>
    <w:p>
      <w:r>
        <w:rPr>
          <w:b w:val="0"/>
          <w:i w:val="0"/>
          <w:sz w:val="21"/>
        </w:rPr>
        <w:t>SBA disbursement is sequenced to occur with the full $250,000 equity injection on deposit, in compliance with SOP 50 10 8.</w:t>
      </w:r>
    </w:p>
    <w:p>
      <w:r>
        <w:br w:type="page"/>
      </w:r>
    </w:p>
    <w:p>
      <w:pPr>
        <w:pStyle w:val="Heading1"/>
        <w:keepNext/>
        <w:spacing w:after="80"/>
      </w:pPr>
      <w:r>
        <w:rPr>
          <w:b/>
          <w:color w:val="1F3864"/>
          <w:sz w:val="30"/>
        </w:rPr>
        <w:t>11 - Financial Plan and Projections</w:t>
      </w:r>
    </w:p>
    <w:p>
      <w:r>
        <w:rPr>
          <w:b w:val="0"/>
          <w:i w:val="0"/>
          <w:sz w:val="21"/>
        </w:rPr>
        <w:t>All projections are from the Rev 5.00 dynamic proforma (36 monthly periods; every calculation cell is a live formula; all inputs on a single Control Tower tab; QA-verified 23/23). The model practices strict real-cash discipline: no revolver or assumed facility anywhere - shortfalls, if any, are shown rather than plugged. Officer salaries are fully expensed (with the three owner-operators deferring cash pay until break-even census - $42,500 accrued and repaid in January), a 22% benefits load plus 3% workers compensation applies, a 5% of net patient revenue contingency is deducted below EBITDA, and the actual financing sequence (zero debt service until month 2, then SBA at $6,747/mo from February 2027) is modeled month by month.</w:t>
      </w:r>
    </w:p>
    <w:p>
      <w:pPr>
        <w:pStyle w:val="Heading2"/>
        <w:keepNext/>
        <w:spacing w:before="160" w:after="40"/>
      </w:pPr>
      <w:r>
        <w:rPr>
          <w:b/>
          <w:color w:val="1F3864"/>
          <w:sz w:val="23"/>
        </w:rPr>
        <w:t>11.1-11.2 Sources &amp; uses of funds</w:t>
      </w:r>
    </w:p>
    <w:tbl>
      <w:tblPr>
        <w:tblStyle w:val="LightGrid-Accent1"/>
        <w:tblW w:type="auto" w:w="0"/>
        <w:jc w:val="left"/>
        <w:tblLook w:firstColumn="1" w:firstRow="1" w:lastColumn="0" w:lastRow="0" w:noHBand="0" w:noVBand="1" w:val="04A0"/>
      </w:tblPr>
      <w:tblGrid>
        <w:gridCol w:w="2160"/>
        <w:gridCol w:w="2160"/>
        <w:gridCol w:w="2160"/>
        <w:gridCol w:w="2160"/>
      </w:tblGrid>
      <w:tr>
        <w:trPr>
          <w:tblHeader w:val="true"/>
        </w:trPr>
        <w:tc>
          <w:tcPr>
            <w:tcW w:type="dxa" w:w="3168"/>
          </w:tcPr>
          <w:p>
            <w:r/>
            <w:r>
              <w:rPr>
                <w:b/>
                <w:sz w:val="19"/>
              </w:rPr>
              <w:t>Source</w:t>
            </w:r>
          </w:p>
        </w:tc>
        <w:tc>
          <w:tcPr>
            <w:tcW w:type="dxa" w:w="1296"/>
          </w:tcPr>
          <w:p>
            <w:r/>
            <w:r>
              <w:rPr>
                <w:b/>
                <w:sz w:val="19"/>
              </w:rPr>
              <w:t>Amount</w:t>
            </w:r>
          </w:p>
        </w:tc>
        <w:tc>
          <w:tcPr>
            <w:tcW w:type="dxa" w:w="3600"/>
          </w:tcPr>
          <w:p>
            <w:r/>
            <w:r>
              <w:rPr>
                <w:b/>
                <w:sz w:val="19"/>
              </w:rPr>
              <w:t>Use</w:t>
            </w:r>
          </w:p>
        </w:tc>
        <w:tc>
          <w:tcPr>
            <w:tcW w:type="dxa" w:w="1296"/>
          </w:tcPr>
          <w:p>
            <w:r/>
            <w:r>
              <w:rPr>
                <w:b/>
                <w:sz w:val="19"/>
              </w:rPr>
              <w:t>Amount</w:t>
            </w:r>
          </w:p>
        </w:tc>
      </w:tr>
      <w:tr>
        <w:tc>
          <w:tcPr>
            <w:tcW w:type="dxa" w:w="3168"/>
          </w:tcPr>
          <w:p>
            <w:r/>
            <w:r>
              <w:rPr>
                <w:sz w:val="19"/>
              </w:rPr>
              <w:t>SBA 7(a) loan</w:t>
            </w:r>
          </w:p>
        </w:tc>
        <w:tc>
          <w:tcPr>
            <w:tcW w:type="dxa" w:w="1296"/>
          </w:tcPr>
          <w:p>
            <w:r/>
            <w:r>
              <w:rPr>
                <w:sz w:val="19"/>
              </w:rPr>
              <w:t>$500,000</w:t>
            </w:r>
          </w:p>
        </w:tc>
        <w:tc>
          <w:tcPr>
            <w:tcW w:type="dxa" w:w="3600"/>
          </w:tcPr>
          <w:p>
            <w:r/>
            <w:r>
              <w:rPr>
                <w:sz w:val="19"/>
              </w:rPr>
              <w:t>Retires the deferred seller note (~$303,000 incl. accrued interest) + working capital at month-2 funding</w:t>
            </w:r>
          </w:p>
        </w:tc>
        <w:tc>
          <w:tcPr>
            <w:tcW w:type="dxa" w:w="1296"/>
          </w:tcPr>
          <w:p>
            <w:r/>
            <w:r>
              <w:rPr>
                <w:sz w:val="19"/>
              </w:rPr>
              <w:t>$500,000</w:t>
            </w:r>
          </w:p>
        </w:tc>
      </w:tr>
      <w:tr>
        <w:tc>
          <w:tcPr>
            <w:tcW w:type="dxa" w:w="3168"/>
          </w:tcPr>
          <w:p>
            <w:r/>
            <w:r>
              <w:rPr>
                <w:sz w:val="19"/>
              </w:rPr>
              <w:t>Cash equity injection (Bullard $195K + Schackmann $55K)</w:t>
            </w:r>
          </w:p>
        </w:tc>
        <w:tc>
          <w:tcPr>
            <w:tcW w:type="dxa" w:w="1296"/>
          </w:tcPr>
          <w:p>
            <w:r/>
            <w:r>
              <w:rPr>
                <w:sz w:val="19"/>
              </w:rPr>
              <w:t>$250,000</w:t>
            </w:r>
          </w:p>
        </w:tc>
        <w:tc>
          <w:tcPr>
            <w:tcW w:type="dxa" w:w="3600"/>
          </w:tcPr>
          <w:p>
            <w:r/>
            <w:r>
              <w:rPr>
                <w:sz w:val="19"/>
              </w:rPr>
              <w:t>Closing and startup costs</w:t>
            </w:r>
          </w:p>
        </w:tc>
        <w:tc>
          <w:tcPr>
            <w:tcW w:type="dxa" w:w="1296"/>
          </w:tcPr>
          <w:p>
            <w:r/>
            <w:r>
              <w:rPr>
                <w:sz w:val="19"/>
              </w:rPr>
              <w:t>$15,000</w:t>
            </w:r>
          </w:p>
        </w:tc>
      </w:tr>
      <w:tr>
        <w:tc>
          <w:tcPr>
            <w:tcW w:type="dxa" w:w="3168"/>
          </w:tcPr>
          <w:p>
            <w:r/>
            <w:r>
              <w:rPr>
                <w:sz w:val="19"/>
              </w:rPr>
            </w:r>
          </w:p>
        </w:tc>
        <w:tc>
          <w:tcPr>
            <w:tcW w:type="dxa" w:w="1296"/>
          </w:tcPr>
          <w:p>
            <w:r/>
            <w:r>
              <w:rPr>
                <w:sz w:val="19"/>
              </w:rPr>
            </w:r>
          </w:p>
        </w:tc>
        <w:tc>
          <w:tcPr>
            <w:tcW w:type="dxa" w:w="3600"/>
          </w:tcPr>
          <w:p>
            <w:r/>
            <w:r>
              <w:rPr>
                <w:sz w:val="19"/>
              </w:rPr>
              <w:t>Working-capital reserve</w:t>
            </w:r>
          </w:p>
        </w:tc>
        <w:tc>
          <w:tcPr>
            <w:tcW w:type="dxa" w:w="1296"/>
          </w:tcPr>
          <w:p>
            <w:r/>
            <w:r>
              <w:rPr>
                <w:sz w:val="19"/>
              </w:rPr>
              <w:t>$235,000</w:t>
            </w:r>
          </w:p>
        </w:tc>
      </w:tr>
      <w:tr>
        <w:tc>
          <w:tcPr>
            <w:tcW w:type="dxa" w:w="3168"/>
          </w:tcPr>
          <w:p>
            <w:r/>
            <w:r>
              <w:rPr>
                <w:sz w:val="19"/>
              </w:rPr>
              <w:t>Total sources</w:t>
            </w:r>
          </w:p>
        </w:tc>
        <w:tc>
          <w:tcPr>
            <w:tcW w:type="dxa" w:w="1296"/>
          </w:tcPr>
          <w:p>
            <w:r/>
            <w:r>
              <w:rPr>
                <w:sz w:val="19"/>
              </w:rPr>
              <w:t>$750,000</w:t>
            </w:r>
          </w:p>
        </w:tc>
        <w:tc>
          <w:tcPr>
            <w:tcW w:type="dxa" w:w="3600"/>
          </w:tcPr>
          <w:p>
            <w:r/>
            <w:r>
              <w:rPr>
                <w:sz w:val="19"/>
              </w:rPr>
              <w:t>Total uses</w:t>
            </w:r>
          </w:p>
        </w:tc>
        <w:tc>
          <w:tcPr>
            <w:tcW w:type="dxa" w:w="1296"/>
          </w:tcPr>
          <w:p>
            <w:r/>
            <w:r>
              <w:rPr>
                <w:sz w:val="19"/>
              </w:rPr>
              <w:t>$750,000</w:t>
            </w:r>
          </w:p>
        </w:tc>
      </w:tr>
    </w:tbl>
    <w:p>
      <w:r>
        <w:rPr>
          <w:b w:val="0"/>
          <w:i w:val="0"/>
          <w:sz w:val="21"/>
        </w:rPr>
        <w:t>The equity injection is 33% of the $750,000 project. The seller note is retired by SBA proceeds at the January 2027 funding, so the going-forward balance sheet carries a single debt.</w:t>
      </w:r>
    </w:p>
    <w:p>
      <w:pPr>
        <w:pStyle w:val="Heading2"/>
        <w:keepNext/>
        <w:spacing w:before="160" w:after="40"/>
      </w:pPr>
      <w:r>
        <w:rPr>
          <w:b/>
          <w:color w:val="1F3864"/>
          <w:sz w:val="23"/>
        </w:rPr>
        <w:t>11.3 Key assumptions</w:t>
      </w:r>
    </w:p>
    <w:tbl>
      <w:tblPr>
        <w:tblStyle w:val="LightGrid-Accent1"/>
        <w:tblW w:type="auto" w:w="0"/>
        <w:jc w:val="left"/>
        <w:tblLook w:firstColumn="1" w:firstRow="1" w:lastColumn="0" w:lastRow="0" w:noHBand="0" w:noVBand="1" w:val="04A0"/>
      </w:tblPr>
      <w:tblGrid>
        <w:gridCol w:w="4320"/>
        <w:gridCol w:w="4320"/>
      </w:tblGrid>
      <w:tr>
        <w:trPr>
          <w:tblHeader w:val="true"/>
        </w:trPr>
        <w:tc>
          <w:tcPr>
            <w:tcW w:type="dxa" w:w="3456"/>
          </w:tcPr>
          <w:p>
            <w:r/>
            <w:r>
              <w:rPr>
                <w:b/>
                <w:sz w:val="19"/>
              </w:rPr>
              <w:t>Assumption</w:t>
            </w:r>
          </w:p>
        </w:tc>
        <w:tc>
          <w:tcPr>
            <w:tcW w:type="dxa" w:w="5904"/>
          </w:tcPr>
          <w:p>
            <w:r/>
            <w:r>
              <w:rPr>
                <w:b/>
                <w:sz w:val="19"/>
              </w:rPr>
              <w:t>Value</w:t>
            </w:r>
          </w:p>
        </w:tc>
      </w:tr>
      <w:tr>
        <w:tc>
          <w:tcPr>
            <w:tcW w:type="dxa" w:w="3456"/>
          </w:tcPr>
          <w:p>
            <w:r/>
            <w:r>
              <w:rPr>
                <w:sz w:val="19"/>
              </w:rPr>
              <w:t>Payer mix</w:t>
            </w:r>
          </w:p>
        </w:tc>
        <w:tc>
          <w:tcPr>
            <w:tcW w:type="dxa" w:w="5904"/>
          </w:tcPr>
          <w:p>
            <w:r/>
            <w:r>
              <w:rPr>
                <w:sz w:val="19"/>
              </w:rPr>
              <w:t>100% Medicare RHC per-diem (Avant is Medicare-only)</w:t>
            </w:r>
          </w:p>
        </w:tc>
      </w:tr>
      <w:tr>
        <w:tc>
          <w:tcPr>
            <w:tcW w:type="dxa" w:w="3456"/>
          </w:tcPr>
          <w:p>
            <w:r/>
            <w:r>
              <w:rPr>
                <w:sz w:val="19"/>
              </w:rPr>
              <w:t>RHC per-diem (Tier 1 / Tier 2)</w:t>
            </w:r>
          </w:p>
        </w:tc>
        <w:tc>
          <w:tcPr>
            <w:tcW w:type="dxa" w:w="5904"/>
          </w:tcPr>
          <w:p>
            <w:r/>
            <w:r>
              <w:rPr>
                <w:sz w:val="19"/>
              </w:rPr>
              <w:t>$230.83 / $182.36 (FY2026 national), wage-index adjusted for Smith County (CBSA 46340)</w:t>
            </w:r>
          </w:p>
        </w:tc>
      </w:tr>
      <w:tr>
        <w:tc>
          <w:tcPr>
            <w:tcW w:type="dxa" w:w="3456"/>
          </w:tcPr>
          <w:p>
            <w:r/>
            <w:r>
              <w:rPr>
                <w:sz w:val="19"/>
              </w:rPr>
              <w:t>High-rate (first 60 days) share</w:t>
            </w:r>
          </w:p>
        </w:tc>
        <w:tc>
          <w:tcPr>
            <w:tcW w:type="dxa" w:w="5904"/>
          </w:tcPr>
          <w:p>
            <w:r/>
            <w:r>
              <w:rPr>
                <w:sz w:val="19"/>
              </w:rPr>
              <w:t>~15% of patient-days</w:t>
            </w:r>
          </w:p>
        </w:tc>
      </w:tr>
      <w:tr>
        <w:tc>
          <w:tcPr>
            <w:tcW w:type="dxa" w:w="3456"/>
          </w:tcPr>
          <w:p>
            <w:r/>
            <w:r>
              <w:rPr>
                <w:sz w:val="19"/>
              </w:rPr>
              <w:t>Blended net rate / patient-day</w:t>
            </w:r>
          </w:p>
        </w:tc>
        <w:tc>
          <w:tcPr>
            <w:tcW w:type="dxa" w:w="5904"/>
          </w:tcPr>
          <w:p>
            <w:r/>
            <w:r>
              <w:rPr>
                <w:sz w:val="19"/>
              </w:rPr>
              <w:t>~$172 after sequestration and billing fees - escalating 2.5% / year</w:t>
            </w:r>
          </w:p>
        </w:tc>
      </w:tr>
      <w:tr>
        <w:tc>
          <w:tcPr>
            <w:tcW w:type="dxa" w:w="3456"/>
          </w:tcPr>
          <w:p>
            <w:r/>
            <w:r>
              <w:rPr>
                <w:sz w:val="19"/>
              </w:rPr>
              <w:t>Census (end of month)</w:t>
            </w:r>
          </w:p>
        </w:tc>
        <w:tc>
          <w:tcPr>
            <w:tcW w:type="dxa" w:w="5904"/>
          </w:tcPr>
          <w:p>
            <w:r/>
            <w:r>
              <w:rPr>
                <w:sz w:val="19"/>
              </w:rPr>
              <w:t>24 by month 2 / 34 by month 6 / 40 by month 12 / 50 by month 24 / 56 by month 36</w:t>
            </w:r>
          </w:p>
        </w:tc>
      </w:tr>
      <w:tr>
        <w:tc>
          <w:tcPr>
            <w:tcW w:type="dxa" w:w="3456"/>
          </w:tcPr>
          <w:p>
            <w:r/>
            <w:r>
              <w:rPr>
                <w:sz w:val="19"/>
              </w:rPr>
              <w:t>Officer salaries (separately stated)</w:t>
            </w:r>
          </w:p>
        </w:tc>
        <w:tc>
          <w:tcPr>
            <w:tcW w:type="dxa" w:w="5904"/>
          </w:tcPr>
          <w:p>
            <w:r/>
            <w:r>
              <w:rPr>
                <w:sz w:val="19"/>
              </w:rPr>
              <w:t>Administrator $150,000; Director of Nursing $120,000; Community Liaison $120,000; Office Manager $60,000</w:t>
            </w:r>
          </w:p>
        </w:tc>
      </w:tr>
      <w:tr>
        <w:tc>
          <w:tcPr>
            <w:tcW w:type="dxa" w:w="3456"/>
          </w:tcPr>
          <w:p>
            <w:r/>
            <w:r>
              <w:rPr>
                <w:sz w:val="19"/>
              </w:rPr>
              <w:t>Benefits load (W-2)</w:t>
            </w:r>
          </w:p>
        </w:tc>
        <w:tc>
          <w:tcPr>
            <w:tcW w:type="dxa" w:w="5904"/>
          </w:tcPr>
          <w:p>
            <w:r/>
            <w:r>
              <w:rPr>
                <w:sz w:val="19"/>
              </w:rPr>
              <w:t>22% + 3% workers compensation</w:t>
            </w:r>
          </w:p>
        </w:tc>
      </w:tr>
      <w:tr>
        <w:tc>
          <w:tcPr>
            <w:tcW w:type="dxa" w:w="3456"/>
          </w:tcPr>
          <w:p>
            <w:r/>
            <w:r>
              <w:rPr>
                <w:sz w:val="19"/>
              </w:rPr>
              <w:t>Clinical staffing</w:t>
            </w:r>
          </w:p>
        </w:tc>
        <w:tc>
          <w:tcPr>
            <w:tcW w:type="dxa" w:w="5904"/>
          </w:tcPr>
          <w:p>
            <w:r/>
            <w:r>
              <w:rPr>
                <w:sz w:val="19"/>
              </w:rPr>
              <w:t>RN, aide, chaplain, and social-work FTEs scale with census on standard hospice ratios; per-patient costs are per-patient-day rates</w:t>
            </w:r>
          </w:p>
        </w:tc>
      </w:tr>
      <w:tr>
        <w:tc>
          <w:tcPr>
            <w:tcW w:type="dxa" w:w="3456"/>
          </w:tcPr>
          <w:p>
            <w:r/>
            <w:r>
              <w:rPr>
                <w:sz w:val="19"/>
              </w:rPr>
              <w:t>Contingency</w:t>
            </w:r>
          </w:p>
        </w:tc>
        <w:tc>
          <w:tcPr>
            <w:tcW w:type="dxa" w:w="5904"/>
          </w:tcPr>
          <w:p>
            <w:r/>
            <w:r>
              <w:rPr>
                <w:sz w:val="19"/>
              </w:rPr>
              <w:t>5% of net patient revenue, deducted below EBITDA in cash flow</w:t>
            </w:r>
          </w:p>
        </w:tc>
      </w:tr>
      <w:tr>
        <w:tc>
          <w:tcPr>
            <w:tcW w:type="dxa" w:w="3456"/>
          </w:tcPr>
          <w:p>
            <w:r/>
            <w:r>
              <w:rPr>
                <w:sz w:val="19"/>
              </w:rPr>
              <w:t>Debt service (as sequenced)</w:t>
            </w:r>
          </w:p>
        </w:tc>
        <w:tc>
          <w:tcPr>
            <w:tcW w:type="dxa" w:w="5904"/>
          </w:tcPr>
          <w:p>
            <w:r/>
            <w:r>
              <w:rPr>
                <w:sz w:val="19"/>
              </w:rPr>
              <w:t>None until month 2 (seller note fully deferred); SBA 7(a) $6,747/mo from month 3 ($80,961/yr)</w:t>
            </w:r>
          </w:p>
        </w:tc>
      </w:tr>
      <w:tr>
        <w:tc>
          <w:tcPr>
            <w:tcW w:type="dxa" w:w="3456"/>
          </w:tcPr>
          <w:p>
            <w:r/>
            <w:r>
              <w:rPr>
                <w:sz w:val="19"/>
              </w:rPr>
              <w:t>SBA terms</w:t>
            </w:r>
          </w:p>
        </w:tc>
        <w:tc>
          <w:tcPr>
            <w:tcW w:type="dxa" w:w="5904"/>
          </w:tcPr>
          <w:p>
            <w:r/>
            <w:r>
              <w:rPr>
                <w:sz w:val="19"/>
              </w:rPr>
              <w:t>$500,000 at ~10.5% over 10 years; funds month 2 and retires the seller note (~$303,000 payoff)</w:t>
            </w:r>
          </w:p>
        </w:tc>
      </w:tr>
      <w:tr>
        <w:tc>
          <w:tcPr>
            <w:tcW w:type="dxa" w:w="3456"/>
          </w:tcPr>
          <w:p>
            <w:r/>
            <w:r>
              <w:rPr>
                <w:sz w:val="19"/>
              </w:rPr>
              <w:t>Seller note</w:t>
            </w:r>
          </w:p>
        </w:tc>
        <w:tc>
          <w:tcPr>
            <w:tcW w:type="dxa" w:w="5904"/>
          </w:tcPr>
          <w:p>
            <w:r/>
            <w:r>
              <w:rPr>
                <w:sz w:val="19"/>
              </w:rPr>
              <w:t>$300,000 at 6% simple; NO down payment, NO installments - all deferred until prepayment review clears; retired by SBA proceeds at month 2</w:t>
            </w:r>
          </w:p>
        </w:tc>
      </w:tr>
      <w:tr>
        <w:tc>
          <w:tcPr>
            <w:tcW w:type="dxa" w:w="3456"/>
          </w:tcPr>
          <w:p>
            <w:r/>
            <w:r>
              <w:rPr>
                <w:sz w:val="19"/>
              </w:rPr>
              <w:t>Equity injection</w:t>
            </w:r>
          </w:p>
        </w:tc>
        <w:tc>
          <w:tcPr>
            <w:tcW w:type="dxa" w:w="5904"/>
          </w:tcPr>
          <w:p>
            <w:r/>
            <w:r>
              <w:rPr>
                <w:sz w:val="19"/>
              </w:rPr>
              <w:t>$250,000 cash (33% of the $750,000 project)</w:t>
            </w:r>
          </w:p>
        </w:tc>
      </w:tr>
      <w:tr>
        <w:tc>
          <w:tcPr>
            <w:tcW w:type="dxa" w:w="3456"/>
          </w:tcPr>
          <w:p>
            <w:r/>
            <w:r>
              <w:rPr>
                <w:sz w:val="19"/>
              </w:rPr>
              <w:t>Amortization</w:t>
            </w:r>
          </w:p>
        </w:tc>
        <w:tc>
          <w:tcPr>
            <w:tcW w:type="dxa" w:w="5904"/>
          </w:tcPr>
          <w:p>
            <w:r/>
            <w:r>
              <w:rPr>
                <w:sz w:val="19"/>
              </w:rPr>
              <w:t>Acquired license / intangibles amortized straight-line over 15 years (~$33,333/yr)</w:t>
            </w:r>
          </w:p>
        </w:tc>
      </w:tr>
      <w:tr>
        <w:tc>
          <w:tcPr>
            <w:tcW w:type="dxa" w:w="3456"/>
          </w:tcPr>
          <w:p>
            <w:r/>
            <w:r>
              <w:rPr>
                <w:sz w:val="19"/>
              </w:rPr>
              <w:t>Collections timing</w:t>
            </w:r>
          </w:p>
        </w:tc>
        <w:tc>
          <w:tcPr>
            <w:tcW w:type="dxa" w:w="5904"/>
          </w:tcPr>
          <w:p>
            <w:r/>
            <w:r>
              <w:rPr>
                <w:sz w:val="19"/>
              </w:rPr>
              <w:t>Collections lag billing by ~30-60 days (NOE timing), modeled month by month</w:t>
            </w:r>
          </w:p>
        </w:tc>
      </w:tr>
      <w:tr>
        <w:tc>
          <w:tcPr>
            <w:tcW w:type="dxa" w:w="3456"/>
          </w:tcPr>
          <w:p>
            <w:r/>
            <w:r>
              <w:rPr>
                <w:sz w:val="19"/>
              </w:rPr>
              <w:t>Liquidity discipline</w:t>
            </w:r>
          </w:p>
        </w:tc>
        <w:tc>
          <w:tcPr>
            <w:tcW w:type="dxa" w:w="5904"/>
          </w:tcPr>
          <w:p>
            <w:r/>
            <w:r>
              <w:rPr>
                <w:sz w:val="19"/>
              </w:rPr>
              <w:t>No revolver assumed; owner salary deferral to break-even + staged clinical hiring; base-case cash never negative</w:t>
            </w:r>
          </w:p>
        </w:tc>
      </w:tr>
    </w:tbl>
    <w:p>
      <w:pPr>
        <w:pStyle w:val="Heading2"/>
        <w:keepNext/>
        <w:spacing w:before="160" w:after="40"/>
      </w:pPr>
      <w:r>
        <w:rPr>
          <w:b/>
          <w:color w:val="1F3864"/>
          <w:sz w:val="23"/>
        </w:rPr>
        <w:t>11.4 Three-year profit &amp; loss (Rev 5.00 proforma)</w:t>
      </w:r>
    </w:p>
    <w:tbl>
      <w:tblPr>
        <w:tblStyle w:val="LightGrid-Accent1"/>
        <w:tblW w:type="auto" w:w="0"/>
        <w:jc w:val="left"/>
        <w:tblLook w:firstColumn="1" w:firstRow="1" w:lastColumn="0" w:lastRow="0" w:noHBand="0" w:noVBand="1" w:val="04A0"/>
      </w:tblPr>
      <w:tblGrid>
        <w:gridCol w:w="2160"/>
        <w:gridCol w:w="2160"/>
        <w:gridCol w:w="2160"/>
        <w:gridCol w:w="2160"/>
      </w:tblGrid>
      <w:tr>
        <w:trPr>
          <w:tblHeader w:val="true"/>
        </w:trPr>
        <w:tc>
          <w:tcPr>
            <w:tcW w:type="dxa" w:w="3744"/>
          </w:tcPr>
          <w:p>
            <w:r/>
            <w:r>
              <w:rPr>
                <w:b/>
                <w:sz w:val="19"/>
              </w:rPr>
              <w:t>Line item</w:t>
            </w:r>
          </w:p>
        </w:tc>
        <w:tc>
          <w:tcPr>
            <w:tcW w:type="dxa" w:w="1872"/>
          </w:tcPr>
          <w:p>
            <w:r/>
            <w:r>
              <w:rPr>
                <w:b/>
                <w:sz w:val="19"/>
              </w:rPr>
              <w:t>Year 1</w:t>
            </w:r>
          </w:p>
        </w:tc>
        <w:tc>
          <w:tcPr>
            <w:tcW w:type="dxa" w:w="1872"/>
          </w:tcPr>
          <w:p>
            <w:r/>
            <w:r>
              <w:rPr>
                <w:b/>
                <w:sz w:val="19"/>
              </w:rPr>
              <w:t>Year 2</w:t>
            </w:r>
          </w:p>
        </w:tc>
        <w:tc>
          <w:tcPr>
            <w:tcW w:type="dxa" w:w="1872"/>
          </w:tcPr>
          <w:p>
            <w:r/>
            <w:r>
              <w:rPr>
                <w:b/>
                <w:sz w:val="19"/>
              </w:rPr>
              <w:t>Year 3</w:t>
            </w:r>
          </w:p>
        </w:tc>
      </w:tr>
      <w:tr>
        <w:tc>
          <w:tcPr>
            <w:tcW w:type="dxa" w:w="3744"/>
          </w:tcPr>
          <w:p>
            <w:r/>
            <w:r>
              <w:rPr>
                <w:sz w:val="19"/>
              </w:rPr>
              <w:t>Average daily census (ADC)</w:t>
            </w:r>
          </w:p>
        </w:tc>
        <w:tc>
          <w:tcPr>
            <w:tcW w:type="dxa" w:w="1872"/>
          </w:tcPr>
          <w:p>
            <w:r/>
            <w:r>
              <w:rPr>
                <w:sz w:val="19"/>
              </w:rPr>
              <w:t>31.0</w:t>
            </w:r>
          </w:p>
        </w:tc>
        <w:tc>
          <w:tcPr>
            <w:tcW w:type="dxa" w:w="1872"/>
          </w:tcPr>
          <w:p>
            <w:r/>
            <w:r>
              <w:rPr>
                <w:sz w:val="19"/>
              </w:rPr>
              <w:t>45.0</w:t>
            </w:r>
          </w:p>
        </w:tc>
        <w:tc>
          <w:tcPr>
            <w:tcW w:type="dxa" w:w="1872"/>
          </w:tcPr>
          <w:p>
            <w:r/>
            <w:r>
              <w:rPr>
                <w:sz w:val="19"/>
              </w:rPr>
              <w:t>53.0</w:t>
            </w:r>
          </w:p>
        </w:tc>
      </w:tr>
      <w:tr>
        <w:tc>
          <w:tcPr>
            <w:tcW w:type="dxa" w:w="3744"/>
          </w:tcPr>
          <w:p>
            <w:r/>
            <w:r>
              <w:rPr>
                <w:sz w:val="19"/>
              </w:rPr>
              <w:t>Net patient revenue</w:t>
            </w:r>
          </w:p>
        </w:tc>
        <w:tc>
          <w:tcPr>
            <w:tcW w:type="dxa" w:w="1872"/>
          </w:tcPr>
          <w:p>
            <w:r/>
            <w:r>
              <w:rPr>
                <w:sz w:val="19"/>
              </w:rPr>
              <w:t>$1,932,877</w:t>
            </w:r>
          </w:p>
        </w:tc>
        <w:tc>
          <w:tcPr>
            <w:tcW w:type="dxa" w:w="1872"/>
          </w:tcPr>
          <w:p>
            <w:r/>
            <w:r>
              <w:rPr>
                <w:sz w:val="19"/>
              </w:rPr>
              <w:t>$2,891,641</w:t>
            </w:r>
          </w:p>
        </w:tc>
        <w:tc>
          <w:tcPr>
            <w:tcW w:type="dxa" w:w="1872"/>
          </w:tcPr>
          <w:p>
            <w:r/>
            <w:r>
              <w:rPr>
                <w:sz w:val="19"/>
              </w:rPr>
              <w:t>$3,490,623</w:t>
            </w:r>
          </w:p>
        </w:tc>
      </w:tr>
      <w:tr>
        <w:tc>
          <w:tcPr>
            <w:tcW w:type="dxa" w:w="3744"/>
          </w:tcPr>
          <w:p>
            <w:r/>
            <w:r>
              <w:rPr>
                <w:sz w:val="19"/>
              </w:rPr>
              <w:t>Direct patient costs</w:t>
            </w:r>
          </w:p>
        </w:tc>
        <w:tc>
          <w:tcPr>
            <w:tcW w:type="dxa" w:w="1872"/>
          </w:tcPr>
          <w:p>
            <w:r/>
            <w:r>
              <w:rPr>
                <w:sz w:val="19"/>
              </w:rPr>
              <w:t>$180,568</w:t>
            </w:r>
          </w:p>
        </w:tc>
        <w:tc>
          <w:tcPr>
            <w:tcW w:type="dxa" w:w="1872"/>
          </w:tcPr>
          <w:p>
            <w:r/>
            <w:r>
              <w:rPr>
                <w:sz w:val="19"/>
              </w:rPr>
              <w:t>$263,288</w:t>
            </w:r>
          </w:p>
        </w:tc>
        <w:tc>
          <w:tcPr>
            <w:tcW w:type="dxa" w:w="1872"/>
          </w:tcPr>
          <w:p>
            <w:r/>
            <w:r>
              <w:rPr>
                <w:sz w:val="19"/>
              </w:rPr>
              <w:t>$309,983</w:t>
            </w:r>
          </w:p>
        </w:tc>
      </w:tr>
      <w:tr>
        <w:tc>
          <w:tcPr>
            <w:tcW w:type="dxa" w:w="3744"/>
          </w:tcPr>
          <w:p>
            <w:r/>
            <w:r>
              <w:rPr>
                <w:sz w:val="19"/>
              </w:rPr>
              <w:t>Clinical payroll (loaded)</w:t>
            </w:r>
          </w:p>
        </w:tc>
        <w:tc>
          <w:tcPr>
            <w:tcW w:type="dxa" w:w="1872"/>
          </w:tcPr>
          <w:p>
            <w:r/>
            <w:r>
              <w:rPr>
                <w:sz w:val="19"/>
              </w:rPr>
              <w:t>$703,438</w:t>
            </w:r>
          </w:p>
        </w:tc>
        <w:tc>
          <w:tcPr>
            <w:tcW w:type="dxa" w:w="1872"/>
          </w:tcPr>
          <w:p>
            <w:r/>
            <w:r>
              <w:rPr>
                <w:sz w:val="19"/>
              </w:rPr>
              <w:t>$1,020,480</w:t>
            </w:r>
          </w:p>
        </w:tc>
        <w:tc>
          <w:tcPr>
            <w:tcW w:type="dxa" w:w="1872"/>
          </w:tcPr>
          <w:p>
            <w:r/>
            <w:r>
              <w:rPr>
                <w:sz w:val="19"/>
              </w:rPr>
              <w:t>$1,208,870</w:t>
            </w:r>
          </w:p>
        </w:tc>
      </w:tr>
      <w:tr>
        <w:tc>
          <w:tcPr>
            <w:tcW w:type="dxa" w:w="3744"/>
          </w:tcPr>
          <w:p>
            <w:r/>
            <w:r>
              <w:rPr>
                <w:sz w:val="19"/>
              </w:rPr>
              <w:t>Indirect payroll (loaded)</w:t>
            </w:r>
          </w:p>
        </w:tc>
        <w:tc>
          <w:tcPr>
            <w:tcW w:type="dxa" w:w="1872"/>
          </w:tcPr>
          <w:p>
            <w:r/>
            <w:r>
              <w:rPr>
                <w:sz w:val="19"/>
              </w:rPr>
              <w:t>$596,875</w:t>
            </w:r>
          </w:p>
        </w:tc>
        <w:tc>
          <w:tcPr>
            <w:tcW w:type="dxa" w:w="1872"/>
          </w:tcPr>
          <w:p>
            <w:r/>
            <w:r>
              <w:rPr>
                <w:sz w:val="19"/>
              </w:rPr>
              <w:t>$688,812</w:t>
            </w:r>
          </w:p>
        </w:tc>
        <w:tc>
          <w:tcPr>
            <w:tcW w:type="dxa" w:w="1872"/>
          </w:tcPr>
          <w:p>
            <w:r/>
            <w:r>
              <w:rPr>
                <w:sz w:val="19"/>
              </w:rPr>
              <w:t>$709,477</w:t>
            </w:r>
          </w:p>
        </w:tc>
      </w:tr>
      <w:tr>
        <w:tc>
          <w:tcPr>
            <w:tcW w:type="dxa" w:w="3744"/>
          </w:tcPr>
          <w:p>
            <w:r/>
            <w:r>
              <w:rPr>
                <w:sz w:val="19"/>
              </w:rPr>
              <w:t>Facility</w:t>
            </w:r>
          </w:p>
        </w:tc>
        <w:tc>
          <w:tcPr>
            <w:tcW w:type="dxa" w:w="1872"/>
          </w:tcPr>
          <w:p>
            <w:r/>
            <w:r>
              <w:rPr>
                <w:sz w:val="19"/>
              </w:rPr>
              <w:t>$41,400</w:t>
            </w:r>
          </w:p>
        </w:tc>
        <w:tc>
          <w:tcPr>
            <w:tcW w:type="dxa" w:w="1872"/>
          </w:tcPr>
          <w:p>
            <w:r/>
            <w:r>
              <w:rPr>
                <w:sz w:val="19"/>
              </w:rPr>
              <w:t>$65,562</w:t>
            </w:r>
          </w:p>
        </w:tc>
        <w:tc>
          <w:tcPr>
            <w:tcW w:type="dxa" w:w="1872"/>
          </w:tcPr>
          <w:p>
            <w:r/>
            <w:r>
              <w:rPr>
                <w:sz w:val="19"/>
              </w:rPr>
              <w:t>$89,729</w:t>
            </w:r>
          </w:p>
        </w:tc>
      </w:tr>
      <w:tr>
        <w:tc>
          <w:tcPr>
            <w:tcW w:type="dxa" w:w="3744"/>
          </w:tcPr>
          <w:p>
            <w:r/>
            <w:r>
              <w:rPr>
                <w:sz w:val="19"/>
              </w:rPr>
              <w:t>Operating G&amp;A</w:t>
            </w:r>
          </w:p>
        </w:tc>
        <w:tc>
          <w:tcPr>
            <w:tcW w:type="dxa" w:w="1872"/>
          </w:tcPr>
          <w:p>
            <w:r/>
            <w:r>
              <w:rPr>
                <w:sz w:val="19"/>
              </w:rPr>
              <w:t>$111,401</w:t>
            </w:r>
          </w:p>
        </w:tc>
        <w:tc>
          <w:tcPr>
            <w:tcW w:type="dxa" w:w="1872"/>
          </w:tcPr>
          <w:p>
            <w:r/>
            <w:r>
              <w:rPr>
                <w:sz w:val="19"/>
              </w:rPr>
              <w:t>$157,517</w:t>
            </w:r>
          </w:p>
        </w:tc>
        <w:tc>
          <w:tcPr>
            <w:tcW w:type="dxa" w:w="1872"/>
          </w:tcPr>
          <w:p>
            <w:r/>
            <w:r>
              <w:rPr>
                <w:sz w:val="19"/>
              </w:rPr>
              <w:t>$187,135</w:t>
            </w:r>
          </w:p>
        </w:tc>
      </w:tr>
      <w:tr>
        <w:tc>
          <w:tcPr>
            <w:tcW w:type="dxa" w:w="3744"/>
          </w:tcPr>
          <w:p>
            <w:r/>
            <w:r>
              <w:rPr>
                <w:sz w:val="19"/>
              </w:rPr>
              <w:t>EBITDA (before debt service)</w:t>
            </w:r>
          </w:p>
        </w:tc>
        <w:tc>
          <w:tcPr>
            <w:tcW w:type="dxa" w:w="1872"/>
          </w:tcPr>
          <w:p>
            <w:r/>
            <w:r>
              <w:rPr>
                <w:sz w:val="19"/>
              </w:rPr>
              <w:t>$299,195</w:t>
            </w:r>
          </w:p>
        </w:tc>
        <w:tc>
          <w:tcPr>
            <w:tcW w:type="dxa" w:w="1872"/>
          </w:tcPr>
          <w:p>
            <w:r/>
            <w:r>
              <w:rPr>
                <w:sz w:val="19"/>
              </w:rPr>
              <w:t>$695,981</w:t>
            </w:r>
          </w:p>
        </w:tc>
        <w:tc>
          <w:tcPr>
            <w:tcW w:type="dxa" w:w="1872"/>
          </w:tcPr>
          <w:p>
            <w:r/>
            <w:r>
              <w:rPr>
                <w:sz w:val="19"/>
              </w:rPr>
              <w:t>$985,429</w:t>
            </w:r>
          </w:p>
        </w:tc>
      </w:tr>
      <w:tr>
        <w:tc>
          <w:tcPr>
            <w:tcW w:type="dxa" w:w="3744"/>
          </w:tcPr>
          <w:p>
            <w:r/>
            <w:r>
              <w:rPr>
                <w:sz w:val="19"/>
              </w:rPr>
              <w:t>EBITDA margin</w:t>
            </w:r>
          </w:p>
        </w:tc>
        <w:tc>
          <w:tcPr>
            <w:tcW w:type="dxa" w:w="1872"/>
          </w:tcPr>
          <w:p>
            <w:r/>
            <w:r>
              <w:rPr>
                <w:sz w:val="19"/>
              </w:rPr>
              <w:t>15.5%</w:t>
            </w:r>
          </w:p>
        </w:tc>
        <w:tc>
          <w:tcPr>
            <w:tcW w:type="dxa" w:w="1872"/>
          </w:tcPr>
          <w:p>
            <w:r/>
            <w:r>
              <w:rPr>
                <w:sz w:val="19"/>
              </w:rPr>
              <w:t>24.1%</w:t>
            </w:r>
          </w:p>
        </w:tc>
        <w:tc>
          <w:tcPr>
            <w:tcW w:type="dxa" w:w="1872"/>
          </w:tcPr>
          <w:p>
            <w:r/>
            <w:r>
              <w:rPr>
                <w:sz w:val="19"/>
              </w:rPr>
              <w:t>28.2%</w:t>
            </w:r>
          </w:p>
        </w:tc>
      </w:tr>
      <w:tr>
        <w:tc>
          <w:tcPr>
            <w:tcW w:type="dxa" w:w="3744"/>
          </w:tcPr>
          <w:p>
            <w:r/>
            <w:r>
              <w:rPr>
                <w:sz w:val="19"/>
              </w:rPr>
              <w:t>Contingency (5% of NPR, below EBITDA)</w:t>
            </w:r>
          </w:p>
        </w:tc>
        <w:tc>
          <w:tcPr>
            <w:tcW w:type="dxa" w:w="1872"/>
          </w:tcPr>
          <w:p>
            <w:r/>
            <w:r>
              <w:rPr>
                <w:sz w:val="19"/>
              </w:rPr>
              <w:t>$96,644</w:t>
            </w:r>
          </w:p>
        </w:tc>
        <w:tc>
          <w:tcPr>
            <w:tcW w:type="dxa" w:w="1872"/>
          </w:tcPr>
          <w:p>
            <w:r/>
            <w:r>
              <w:rPr>
                <w:sz w:val="19"/>
              </w:rPr>
              <w:t>$144,582</w:t>
            </w:r>
          </w:p>
        </w:tc>
        <w:tc>
          <w:tcPr>
            <w:tcW w:type="dxa" w:w="1872"/>
          </w:tcPr>
          <w:p>
            <w:r/>
            <w:r>
              <w:rPr>
                <w:sz w:val="19"/>
              </w:rPr>
              <w:t>$174,531</w:t>
            </w:r>
          </w:p>
        </w:tc>
      </w:tr>
      <w:tr>
        <w:tc>
          <w:tcPr>
            <w:tcW w:type="dxa" w:w="3744"/>
          </w:tcPr>
          <w:p>
            <w:r/>
            <w:r>
              <w:rPr>
                <w:sz w:val="19"/>
              </w:rPr>
              <w:t>Amortization</w:t>
            </w:r>
          </w:p>
        </w:tc>
        <w:tc>
          <w:tcPr>
            <w:tcW w:type="dxa" w:w="1872"/>
          </w:tcPr>
          <w:p>
            <w:r/>
            <w:r>
              <w:rPr>
                <w:sz w:val="19"/>
              </w:rPr>
              <w:t>$33,333</w:t>
            </w:r>
          </w:p>
        </w:tc>
        <w:tc>
          <w:tcPr>
            <w:tcW w:type="dxa" w:w="1872"/>
          </w:tcPr>
          <w:p>
            <w:r/>
            <w:r>
              <w:rPr>
                <w:sz w:val="19"/>
              </w:rPr>
              <w:t>$33,333</w:t>
            </w:r>
          </w:p>
        </w:tc>
        <w:tc>
          <w:tcPr>
            <w:tcW w:type="dxa" w:w="1872"/>
          </w:tcPr>
          <w:p>
            <w:r/>
            <w:r>
              <w:rPr>
                <w:sz w:val="19"/>
              </w:rPr>
              <w:t>$33,333</w:t>
            </w:r>
          </w:p>
        </w:tc>
      </w:tr>
      <w:tr>
        <w:tc>
          <w:tcPr>
            <w:tcW w:type="dxa" w:w="3744"/>
          </w:tcPr>
          <w:p>
            <w:r/>
            <w:r>
              <w:rPr>
                <w:sz w:val="19"/>
              </w:rPr>
              <w:t>Interest (seller + bank + SBA notes)</w:t>
            </w:r>
          </w:p>
        </w:tc>
        <w:tc>
          <w:tcPr>
            <w:tcW w:type="dxa" w:w="1872"/>
          </w:tcPr>
          <w:p>
            <w:r/>
            <w:r>
              <w:rPr>
                <w:sz w:val="19"/>
              </w:rPr>
              <w:t>$34,600</w:t>
            </w:r>
          </w:p>
        </w:tc>
        <w:tc>
          <w:tcPr>
            <w:tcW w:type="dxa" w:w="1872"/>
          </w:tcPr>
          <w:p>
            <w:r/>
            <w:r>
              <w:rPr>
                <w:sz w:val="19"/>
              </w:rPr>
              <w:t>$49,760</w:t>
            </w:r>
          </w:p>
        </w:tc>
        <w:tc>
          <w:tcPr>
            <w:tcW w:type="dxa" w:w="1872"/>
          </w:tcPr>
          <w:p>
            <w:r/>
            <w:r>
              <w:rPr>
                <w:sz w:val="19"/>
              </w:rPr>
              <w:t>$46,321</w:t>
            </w:r>
          </w:p>
        </w:tc>
      </w:tr>
      <w:tr>
        <w:tc>
          <w:tcPr>
            <w:tcW w:type="dxa" w:w="3744"/>
          </w:tcPr>
          <w:p>
            <w:r/>
            <w:r>
              <w:rPr>
                <w:sz w:val="19"/>
              </w:rPr>
              <w:t>TX franchise tax</w:t>
            </w:r>
          </w:p>
        </w:tc>
        <w:tc>
          <w:tcPr>
            <w:tcW w:type="dxa" w:w="1872"/>
          </w:tcPr>
          <w:p>
            <w:r/>
            <w:r>
              <w:rPr>
                <w:sz w:val="19"/>
              </w:rPr>
              <w:t>$6,127</w:t>
            </w:r>
          </w:p>
        </w:tc>
        <w:tc>
          <w:tcPr>
            <w:tcW w:type="dxa" w:w="1872"/>
          </w:tcPr>
          <w:p>
            <w:r/>
            <w:r>
              <w:rPr>
                <w:sz w:val="19"/>
              </w:rPr>
              <w:t>$10,844</w:t>
            </w:r>
          </w:p>
        </w:tc>
        <w:tc>
          <w:tcPr>
            <w:tcW w:type="dxa" w:w="1872"/>
          </w:tcPr>
          <w:p>
            <w:r/>
            <w:r>
              <w:rPr>
                <w:sz w:val="19"/>
              </w:rPr>
              <w:t>$13,090</w:t>
            </w:r>
          </w:p>
        </w:tc>
      </w:tr>
      <w:tr>
        <w:tc>
          <w:tcPr>
            <w:tcW w:type="dxa" w:w="3744"/>
          </w:tcPr>
          <w:p>
            <w:r/>
            <w:r>
              <w:rPr>
                <w:sz w:val="19"/>
              </w:rPr>
              <w:t>Net income</w:t>
            </w:r>
          </w:p>
        </w:tc>
        <w:tc>
          <w:tcPr>
            <w:tcW w:type="dxa" w:w="1872"/>
          </w:tcPr>
          <w:p>
            <w:r/>
            <w:r>
              <w:rPr>
                <w:sz w:val="19"/>
              </w:rPr>
              <w:t>$130,630</w:t>
            </w:r>
          </w:p>
        </w:tc>
        <w:tc>
          <w:tcPr>
            <w:tcW w:type="dxa" w:w="1872"/>
          </w:tcPr>
          <w:p>
            <w:r/>
            <w:r>
              <w:rPr>
                <w:sz w:val="19"/>
              </w:rPr>
              <w:t>$472,185</w:t>
            </w:r>
          </w:p>
        </w:tc>
        <w:tc>
          <w:tcPr>
            <w:tcW w:type="dxa" w:w="1872"/>
          </w:tcPr>
          <w:p>
            <w:r/>
            <w:r>
              <w:rPr>
                <w:sz w:val="19"/>
              </w:rPr>
              <w:t>$733,029</w:t>
            </w:r>
          </w:p>
        </w:tc>
      </w:tr>
    </w:tbl>
    <w:p>
      <w:r>
        <w:rPr>
          <w:b w:val="0"/>
          <w:i w:val="0"/>
          <w:sz w:val="21"/>
        </w:rPr>
        <w:t>Net patient revenue grows from $1.93M to $3.49M and EBITDA from $299K to $985K (before debt service) as the base-case census builds from 24 patients at month 2 to 56 at month 36 on the team's referral pipeline, with a conservative 2.5% annual CMS per-diem escalation. Clinical hiring is staged one month behind census (a day-one core of 1 RN + 1 CNA, PRN 1099 coverage for surges), the full officer roster is separately stated with a 22% + 3% benefits and workers compensation load, and the explicit 5% contingency is carried below EBITDA and deducted in cash.</w:t>
      </w:r>
    </w:p>
    <w:p>
      <w:pPr>
        <w:pStyle w:val="Heading2"/>
        <w:keepNext/>
        <w:spacing w:before="160" w:after="40"/>
      </w:pPr>
      <w:r>
        <w:rPr>
          <w:b/>
          <w:color w:val="1F3864"/>
          <w:sz w:val="23"/>
        </w:rPr>
        <w:t>11.5 Year-1 monthly detail (selected months)</w:t>
      </w:r>
    </w:p>
    <w:tbl>
      <w:tblPr>
        <w:tblStyle w:val="LightGrid-Accent1"/>
        <w:tblW w:type="auto" w:w="0"/>
        <w:jc w:val="left"/>
        <w:tblLook w:firstColumn="1" w:firstRow="1" w:lastColumn="0" w:lastRow="0" w:noHBand="0" w:noVBand="1" w:val="04A0"/>
      </w:tblPr>
      <w:tblGrid>
        <w:gridCol w:w="2160"/>
        <w:gridCol w:w="2160"/>
        <w:gridCol w:w="2160"/>
        <w:gridCol w:w="2160"/>
      </w:tblGrid>
      <w:tr>
        <w:trPr>
          <w:tblHeader w:val="true"/>
        </w:trPr>
        <w:tc>
          <w:tcPr>
            <w:tcW w:type="dxa" w:w="1728"/>
          </w:tcPr>
          <w:p>
            <w:r/>
            <w:r>
              <w:rPr>
                <w:b/>
                <w:sz w:val="19"/>
              </w:rPr>
              <w:t>Month</w:t>
            </w:r>
          </w:p>
        </w:tc>
        <w:tc>
          <w:tcPr>
            <w:tcW w:type="dxa" w:w="1296"/>
          </w:tcPr>
          <w:p>
            <w:r/>
            <w:r>
              <w:rPr>
                <w:b/>
                <w:sz w:val="19"/>
              </w:rPr>
              <w:t>ADC</w:t>
            </w:r>
          </w:p>
        </w:tc>
        <w:tc>
          <w:tcPr>
            <w:tcW w:type="dxa" w:w="2016"/>
          </w:tcPr>
          <w:p>
            <w:r/>
            <w:r>
              <w:rPr>
                <w:b/>
                <w:sz w:val="19"/>
              </w:rPr>
              <w:t>Net revenue</w:t>
            </w:r>
          </w:p>
        </w:tc>
        <w:tc>
          <w:tcPr>
            <w:tcW w:type="dxa" w:w="4320"/>
          </w:tcPr>
          <w:p>
            <w:r/>
            <w:r>
              <w:rPr>
                <w:b/>
                <w:sz w:val="19"/>
              </w:rPr>
              <w:t>EBITDA (margin)</w:t>
            </w:r>
          </w:p>
        </w:tc>
      </w:tr>
      <w:tr>
        <w:tc>
          <w:tcPr>
            <w:tcW w:type="dxa" w:w="1728"/>
          </w:tcPr>
          <w:p>
            <w:r/>
            <w:r>
              <w:rPr>
                <w:sz w:val="19"/>
              </w:rPr>
              <w:t>M1 (launch)</w:t>
            </w:r>
          </w:p>
        </w:tc>
        <w:tc>
          <w:tcPr>
            <w:tcW w:type="dxa" w:w="1296"/>
          </w:tcPr>
          <w:p>
            <w:r/>
            <w:r>
              <w:rPr>
                <w:sz w:val="19"/>
              </w:rPr>
              <w:t>10.0</w:t>
            </w:r>
          </w:p>
        </w:tc>
        <w:tc>
          <w:tcPr>
            <w:tcW w:type="dxa" w:w="2016"/>
          </w:tcPr>
          <w:p>
            <w:r/>
            <w:r>
              <w:rPr>
                <w:sz w:val="19"/>
              </w:rPr>
              <w:t>$52,240</w:t>
            </w:r>
          </w:p>
        </w:tc>
        <w:tc>
          <w:tcPr>
            <w:tcW w:type="dxa" w:w="4320"/>
          </w:tcPr>
          <w:p>
            <w:r/>
            <w:r>
              <w:rPr>
                <w:sz w:val="19"/>
              </w:rPr>
              <w:t>($8,286) - launch month, absorbed by equity working capital</w:t>
            </w:r>
          </w:p>
        </w:tc>
      </w:tr>
      <w:tr>
        <w:tc>
          <w:tcPr>
            <w:tcW w:type="dxa" w:w="1728"/>
          </w:tcPr>
          <w:p>
            <w:r/>
            <w:r>
              <w:rPr>
                <w:sz w:val="19"/>
              </w:rPr>
              <w:t>M2</w:t>
            </w:r>
          </w:p>
        </w:tc>
        <w:tc>
          <w:tcPr>
            <w:tcW w:type="dxa" w:w="1296"/>
          </w:tcPr>
          <w:p>
            <w:r/>
            <w:r>
              <w:rPr>
                <w:sz w:val="19"/>
              </w:rPr>
              <w:t>22.0</w:t>
            </w:r>
          </w:p>
        </w:tc>
        <w:tc>
          <w:tcPr>
            <w:tcW w:type="dxa" w:w="2016"/>
          </w:tcPr>
          <w:p>
            <w:r/>
            <w:r>
              <w:rPr>
                <w:sz w:val="19"/>
              </w:rPr>
              <w:t>$114,916</w:t>
            </w:r>
          </w:p>
        </w:tc>
        <w:tc>
          <w:tcPr>
            <w:tcW w:type="dxa" w:w="4320"/>
          </w:tcPr>
          <w:p>
            <w:r/>
            <w:r>
              <w:rPr>
                <w:sz w:val="19"/>
              </w:rPr>
              <w:t>$8,904 (7.7%) - census 24 EOM; break-even census (~17-18) crossed</w:t>
            </w:r>
          </w:p>
        </w:tc>
      </w:tr>
      <w:tr>
        <w:tc>
          <w:tcPr>
            <w:tcW w:type="dxa" w:w="1728"/>
          </w:tcPr>
          <w:p>
            <w:r/>
            <w:r>
              <w:rPr>
                <w:sz w:val="19"/>
              </w:rPr>
              <w:t>M3</w:t>
            </w:r>
          </w:p>
        </w:tc>
        <w:tc>
          <w:tcPr>
            <w:tcW w:type="dxa" w:w="1296"/>
          </w:tcPr>
          <w:p>
            <w:r/>
            <w:r>
              <w:rPr>
                <w:sz w:val="19"/>
              </w:rPr>
              <w:t>25.2</w:t>
            </w:r>
          </w:p>
        </w:tc>
        <w:tc>
          <w:tcPr>
            <w:tcW w:type="dxa" w:w="2016"/>
          </w:tcPr>
          <w:p>
            <w:r/>
            <w:r>
              <w:rPr>
                <w:sz w:val="19"/>
              </w:rPr>
              <w:t>$131,893</w:t>
            </w:r>
          </w:p>
        </w:tc>
        <w:tc>
          <w:tcPr>
            <w:tcW w:type="dxa" w:w="4320"/>
          </w:tcPr>
          <w:p>
            <w:r/>
            <w:r>
              <w:rPr>
                <w:sz w:val="19"/>
              </w:rPr>
              <w:t>$10,657 (8.1%) - owner salaries resume from deferral</w:t>
            </w:r>
          </w:p>
        </w:tc>
      </w:tr>
      <w:tr>
        <w:tc>
          <w:tcPr>
            <w:tcW w:type="dxa" w:w="1728"/>
          </w:tcPr>
          <w:p>
            <w:r/>
            <w:r>
              <w:rPr>
                <w:sz w:val="19"/>
              </w:rPr>
              <w:t>M6</w:t>
            </w:r>
          </w:p>
        </w:tc>
        <w:tc>
          <w:tcPr>
            <w:tcW w:type="dxa" w:w="1296"/>
          </w:tcPr>
          <w:p>
            <w:r/>
            <w:r>
              <w:rPr>
                <w:sz w:val="19"/>
              </w:rPr>
              <w:t>32.7</w:t>
            </w:r>
          </w:p>
        </w:tc>
        <w:tc>
          <w:tcPr>
            <w:tcW w:type="dxa" w:w="2016"/>
          </w:tcPr>
          <w:p>
            <w:r/>
            <w:r>
              <w:rPr>
                <w:sz w:val="19"/>
              </w:rPr>
              <w:t>$171,073</w:t>
            </w:r>
          </w:p>
        </w:tc>
        <w:tc>
          <w:tcPr>
            <w:tcW w:type="dxa" w:w="4320"/>
          </w:tcPr>
          <w:p>
            <w:r/>
            <w:r>
              <w:rPr>
                <w:sz w:val="19"/>
              </w:rPr>
              <w:t>$23,313 (13.6%)</w:t>
            </w:r>
          </w:p>
        </w:tc>
      </w:tr>
      <w:tr>
        <w:tc>
          <w:tcPr>
            <w:tcW w:type="dxa" w:w="1728"/>
          </w:tcPr>
          <w:p>
            <w:r/>
            <w:r>
              <w:rPr>
                <w:sz w:val="19"/>
              </w:rPr>
              <w:t>M12</w:t>
            </w:r>
          </w:p>
        </w:tc>
        <w:tc>
          <w:tcPr>
            <w:tcW w:type="dxa" w:w="1296"/>
          </w:tcPr>
          <w:p>
            <w:r/>
            <w:r>
              <w:rPr>
                <w:sz w:val="19"/>
              </w:rPr>
              <w:t>39.5</w:t>
            </w:r>
          </w:p>
        </w:tc>
        <w:tc>
          <w:tcPr>
            <w:tcW w:type="dxa" w:w="2016"/>
          </w:tcPr>
          <w:p>
            <w:r/>
            <w:r>
              <w:rPr>
                <w:sz w:val="19"/>
              </w:rPr>
              <w:t>$206,376</w:t>
            </w:r>
          </w:p>
        </w:tc>
        <w:tc>
          <w:tcPr>
            <w:tcW w:type="dxa" w:w="4320"/>
          </w:tcPr>
          <w:p>
            <w:r/>
            <w:r>
              <w:rPr>
                <w:sz w:val="19"/>
              </w:rPr>
              <w:t>$46,099 (22.3%)</w:t>
            </w:r>
          </w:p>
        </w:tc>
      </w:tr>
    </w:tbl>
    <w:p>
      <w:r>
        <w:rPr>
          <w:b w:val="0"/>
          <w:i w:val="0"/>
          <w:sz w:val="21"/>
        </w:rPr>
        <w:t>Month 1 is the launch month (10 ADC average), absorbed by the equity working capital; the agency crosses break-even census (~17-18 patients) in month 2 and exits Year 1 at a 22.3% EBITDA margin. Collections lag billing by ~30-60 days (NOE timing); the cash-flow tab models the lag explicitly, month by month, with no revolver or assumed facility anywhere: base-case cash never goes negative (minimum month $192,358 in September - disclosed; month-12 cash month-36 cash $1,473,592).</w:t>
      </w:r>
    </w:p>
    <w:p>
      <w:pPr>
        <w:pStyle w:val="Heading2"/>
        <w:keepNext/>
        <w:spacing w:before="160" w:after="40"/>
      </w:pPr>
      <w:r>
        <w:rPr>
          <w:b/>
          <w:color w:val="1F3864"/>
          <w:sz w:val="23"/>
        </w:rPr>
        <w:t>11.6 Lender summary &amp; debt-service coverage</w:t>
      </w:r>
    </w:p>
    <w:tbl>
      <w:tblPr>
        <w:tblStyle w:val="LightGrid-Accent1"/>
        <w:tblW w:type="auto" w:w="0"/>
        <w:jc w:val="left"/>
        <w:tblLook w:firstColumn="1" w:firstRow="1" w:lastColumn="0" w:lastRow="0" w:noHBand="0" w:noVBand="1" w:val="04A0"/>
      </w:tblPr>
      <w:tblGrid>
        <w:gridCol w:w="2160"/>
        <w:gridCol w:w="2160"/>
        <w:gridCol w:w="2160"/>
        <w:gridCol w:w="2160"/>
      </w:tblGrid>
      <w:tr>
        <w:trPr>
          <w:tblHeader w:val="true"/>
        </w:trPr>
        <w:tc>
          <w:tcPr>
            <w:tcW w:type="dxa" w:w="4032"/>
          </w:tcPr>
          <w:p>
            <w:r/>
            <w:r>
              <w:rPr>
                <w:b/>
                <w:sz w:val="19"/>
              </w:rPr>
              <w:t>Metric</w:t>
            </w:r>
          </w:p>
        </w:tc>
        <w:tc>
          <w:tcPr>
            <w:tcW w:type="dxa" w:w="1872"/>
          </w:tcPr>
          <w:p>
            <w:r/>
            <w:r>
              <w:rPr>
                <w:b/>
                <w:sz w:val="19"/>
              </w:rPr>
              <w:t>Year 1</w:t>
            </w:r>
          </w:p>
        </w:tc>
        <w:tc>
          <w:tcPr>
            <w:tcW w:type="dxa" w:w="1872"/>
          </w:tcPr>
          <w:p>
            <w:r/>
            <w:r>
              <w:rPr>
                <w:b/>
                <w:sz w:val="19"/>
              </w:rPr>
              <w:t>Year 2</w:t>
            </w:r>
          </w:p>
        </w:tc>
        <w:tc>
          <w:tcPr>
            <w:tcW w:type="dxa" w:w="1872"/>
          </w:tcPr>
          <w:p>
            <w:r/>
            <w:r>
              <w:rPr>
                <w:b/>
                <w:sz w:val="19"/>
              </w:rPr>
              <w:t>Year 3</w:t>
            </w:r>
          </w:p>
        </w:tc>
      </w:tr>
      <w:tr>
        <w:tc>
          <w:tcPr>
            <w:tcW w:type="dxa" w:w="4032"/>
          </w:tcPr>
          <w:p>
            <w:r/>
            <w:r>
              <w:rPr>
                <w:sz w:val="19"/>
              </w:rPr>
              <w:t>Net patient revenue</w:t>
            </w:r>
          </w:p>
        </w:tc>
        <w:tc>
          <w:tcPr>
            <w:tcW w:type="dxa" w:w="1872"/>
          </w:tcPr>
          <w:p>
            <w:r/>
            <w:r>
              <w:rPr>
                <w:sz w:val="19"/>
              </w:rPr>
              <w:t>$1,932,877</w:t>
            </w:r>
          </w:p>
        </w:tc>
        <w:tc>
          <w:tcPr>
            <w:tcW w:type="dxa" w:w="1872"/>
          </w:tcPr>
          <w:p>
            <w:r/>
            <w:r>
              <w:rPr>
                <w:sz w:val="19"/>
              </w:rPr>
              <w:t>$2,891,641</w:t>
            </w:r>
          </w:p>
        </w:tc>
        <w:tc>
          <w:tcPr>
            <w:tcW w:type="dxa" w:w="1872"/>
          </w:tcPr>
          <w:p>
            <w:r/>
            <w:r>
              <w:rPr>
                <w:sz w:val="19"/>
              </w:rPr>
              <w:t>$3,490,623</w:t>
            </w:r>
          </w:p>
        </w:tc>
      </w:tr>
      <w:tr>
        <w:tc>
          <w:tcPr>
            <w:tcW w:type="dxa" w:w="4032"/>
          </w:tcPr>
          <w:p>
            <w:r/>
            <w:r>
              <w:rPr>
                <w:sz w:val="19"/>
              </w:rPr>
              <w:t>EBITDA (before debt service)</w:t>
            </w:r>
          </w:p>
        </w:tc>
        <w:tc>
          <w:tcPr>
            <w:tcW w:type="dxa" w:w="1872"/>
          </w:tcPr>
          <w:p>
            <w:r/>
            <w:r>
              <w:rPr>
                <w:sz w:val="19"/>
              </w:rPr>
              <w:t>$299,195</w:t>
            </w:r>
          </w:p>
        </w:tc>
        <w:tc>
          <w:tcPr>
            <w:tcW w:type="dxa" w:w="1872"/>
          </w:tcPr>
          <w:p>
            <w:r/>
            <w:r>
              <w:rPr>
                <w:sz w:val="19"/>
              </w:rPr>
              <w:t>$695,981</w:t>
            </w:r>
          </w:p>
        </w:tc>
        <w:tc>
          <w:tcPr>
            <w:tcW w:type="dxa" w:w="1872"/>
          </w:tcPr>
          <w:p>
            <w:r/>
            <w:r>
              <w:rPr>
                <w:sz w:val="19"/>
              </w:rPr>
              <w:t>$985,429</w:t>
            </w:r>
          </w:p>
        </w:tc>
      </w:tr>
      <w:tr>
        <w:tc>
          <w:tcPr>
            <w:tcW w:type="dxa" w:w="4032"/>
          </w:tcPr>
          <w:p>
            <w:r/>
            <w:r>
              <w:rPr>
                <w:sz w:val="19"/>
              </w:rPr>
              <w:t>Recurring debt service (bank Oct-Jan, then SBA)</w:t>
            </w:r>
          </w:p>
        </w:tc>
        <w:tc>
          <w:tcPr>
            <w:tcW w:type="dxa" w:w="1872"/>
          </w:tcPr>
          <w:p>
            <w:r/>
            <w:r>
              <w:rPr>
                <w:sz w:val="19"/>
              </w:rPr>
              <w:t>$79,367</w:t>
            </w:r>
          </w:p>
        </w:tc>
        <w:tc>
          <w:tcPr>
            <w:tcW w:type="dxa" w:w="1872"/>
          </w:tcPr>
          <w:p>
            <w:r/>
            <w:r>
              <w:rPr>
                <w:sz w:val="19"/>
              </w:rPr>
              <w:t>$80,961</w:t>
            </w:r>
          </w:p>
        </w:tc>
        <w:tc>
          <w:tcPr>
            <w:tcW w:type="dxa" w:w="1872"/>
          </w:tcPr>
          <w:p>
            <w:r/>
            <w:r>
              <w:rPr>
                <w:sz w:val="19"/>
              </w:rPr>
              <w:t>$80,961</w:t>
            </w:r>
          </w:p>
        </w:tc>
      </w:tr>
      <w:tr>
        <w:tc>
          <w:tcPr>
            <w:tcW w:type="dxa" w:w="4032"/>
          </w:tcPr>
          <w:p>
            <w:r/>
            <w:r>
              <w:rPr>
                <w:sz w:val="19"/>
              </w:rPr>
              <w:t>EBITDA / recurring debt service (annualized)</w:t>
            </w:r>
          </w:p>
        </w:tc>
        <w:tc>
          <w:tcPr>
            <w:tcW w:type="dxa" w:w="1872"/>
          </w:tcPr>
          <w:p>
            <w:r/>
            <w:r>
              <w:rPr>
                <w:sz w:val="19"/>
              </w:rPr>
              <w:t>3.7x</w:t>
            </w:r>
          </w:p>
        </w:tc>
        <w:tc>
          <w:tcPr>
            <w:tcW w:type="dxa" w:w="1872"/>
          </w:tcPr>
          <w:p>
            <w:r/>
            <w:r>
              <w:rPr>
                <w:sz w:val="19"/>
              </w:rPr>
              <w:t>8.6x</w:t>
            </w:r>
          </w:p>
        </w:tc>
        <w:tc>
          <w:tcPr>
            <w:tcW w:type="dxa" w:w="1872"/>
          </w:tcPr>
          <w:p>
            <w:r/>
            <w:r>
              <w:rPr>
                <w:sz w:val="19"/>
              </w:rPr>
              <w:t>12.2x</w:t>
            </w:r>
          </w:p>
        </w:tc>
      </w:tr>
      <w:tr>
        <w:tc>
          <w:tcPr>
            <w:tcW w:type="dxa" w:w="4032"/>
          </w:tcPr>
          <w:p>
            <w:r/>
            <w:r>
              <w:rPr>
                <w:sz w:val="19"/>
              </w:rPr>
              <w:t>Global 3-year coverage (incl. month-2 takeout)</w:t>
            </w:r>
          </w:p>
        </w:tc>
        <w:tc>
          <w:tcPr>
            <w:tcW w:type="dxa" w:w="1872"/>
          </w:tcPr>
          <w:p>
            <w:r/>
            <w:r>
              <w:rPr>
                <w:sz w:val="19"/>
              </w:rPr>
              <w:t>3.7x</w:t>
            </w:r>
          </w:p>
        </w:tc>
        <w:tc>
          <w:tcPr>
            <w:tcW w:type="dxa" w:w="1872"/>
          </w:tcPr>
          <w:p>
            <w:r/>
            <w:r>
              <w:rPr>
                <w:sz w:val="19"/>
              </w:rPr>
            </w:r>
          </w:p>
        </w:tc>
        <w:tc>
          <w:tcPr>
            <w:tcW w:type="dxa" w:w="1872"/>
          </w:tcPr>
          <w:p>
            <w:r/>
            <w:r>
              <w:rPr>
                <w:sz w:val="19"/>
              </w:rPr>
            </w:r>
          </w:p>
        </w:tc>
      </w:tr>
      <w:tr>
        <w:tc>
          <w:tcPr>
            <w:tcW w:type="dxa" w:w="4032"/>
          </w:tcPr>
          <w:p>
            <w:r/>
            <w:r>
              <w:rPr>
                <w:sz w:val="19"/>
              </w:rPr>
              <w:t>Net income</w:t>
            </w:r>
          </w:p>
        </w:tc>
        <w:tc>
          <w:tcPr>
            <w:tcW w:type="dxa" w:w="1872"/>
          </w:tcPr>
          <w:p>
            <w:r/>
            <w:r>
              <w:rPr>
                <w:sz w:val="19"/>
              </w:rPr>
              <w:t>$130,630</w:t>
            </w:r>
          </w:p>
        </w:tc>
        <w:tc>
          <w:tcPr>
            <w:tcW w:type="dxa" w:w="1872"/>
          </w:tcPr>
          <w:p>
            <w:r/>
            <w:r>
              <w:rPr>
                <w:sz w:val="19"/>
              </w:rPr>
              <w:t>$472,185</w:t>
            </w:r>
          </w:p>
        </w:tc>
        <w:tc>
          <w:tcPr>
            <w:tcW w:type="dxa" w:w="1872"/>
          </w:tcPr>
          <w:p>
            <w:r/>
            <w:r>
              <w:rPr>
                <w:sz w:val="19"/>
              </w:rPr>
              <w:t>$733,029</w:t>
            </w:r>
          </w:p>
        </w:tc>
      </w:tr>
    </w:tbl>
    <w:p>
      <w:r>
        <w:rPr>
          <w:b w:val="0"/>
          <w:i w:val="0"/>
          <w:sz w:val="21"/>
        </w:rPr>
        <w:t>Year 1 carries no debt service at all until the SBA funds at month 2, then a single SBA payment of $6,747 per month - EBITDA covers annualized recurring service 3.7x in Year 1, 8.6x in Year 2, and 12.2x in Year 3, with global 3-year coverage of 3.7x even including the one-time seller takeout, against the 1.25x floor, computed before adding back the below-EBITDA contingency. Break-even is approximately 17-18 patients, crossed in month 2 of the ramp.</w:t>
      </w:r>
    </w:p>
    <w:p>
      <w:pPr>
        <w:pStyle w:val="Heading2"/>
        <w:keepNext/>
        <w:spacing w:before="160" w:after="40"/>
      </w:pPr>
      <w:r>
        <w:rPr>
          <w:b/>
          <w:color w:val="1F3864"/>
          <w:sz w:val="23"/>
        </w:rPr>
        <w:t>11.7 Downside case</w:t>
      </w:r>
    </w:p>
    <w:p>
      <w:r>
        <w:rPr>
          <w:b w:val="0"/>
          <w:i w:val="0"/>
          <w:sz w:val="21"/>
        </w:rPr>
        <w:t>The proforma carries a documented downside case (slower census ramp) as a scenario switch, modeled with no assumed facility: in the downside the plan requires approximately $30,000 of additional capital (peaking in month 3) - disclosed rather than modeled away, and covered by the investor note raise in progress. Three structural mitigants bound the risk: (1) the roster is census-driven, so a lower census carries a lighter cost base; (2) break-even is ~17-18 patients against a month-2 census of 24, so the plan operates above break-even from the second month; and (3) the modeled 36-month amortization overstates the real debt burden - on actual SBA terms, annual debt service falls by roughly $100,000, widening every downside margin.</w:t>
      </w:r>
    </w:p>
    <w:p>
      <w:pPr>
        <w:pStyle w:val="Heading2"/>
        <w:keepNext/>
        <w:spacing w:before="160" w:after="40"/>
      </w:pPr>
      <w:r>
        <w:rPr>
          <w:b/>
          <w:color w:val="1F3864"/>
          <w:sz w:val="23"/>
        </w:rPr>
        <w:t>11.8 Proof: benchmarked economics</w:t>
      </w:r>
    </w:p>
    <w:p>
      <w:r>
        <w:rPr>
          <w:b w:val="0"/>
          <w:i w:val="0"/>
          <w:sz w:val="21"/>
        </w:rPr>
        <w:t>The model is not pure projection - its per-diem economics and cost structure are benchmarked to the leadership team's own prior Tyler-market book (April-June 2025 actuals: approximately $118,400/month net collections at ~22 ADC). The census path is a return to levels this team has already operated at in this market, and patient-related costs reconcile to those actuals. Payroll differs by design - Azalea's staggered W-2 roster with a 22% + 3% load, separately stated officer salaries, and go-forward Medical Directors versus the benchmarked book's blended run.</w:t>
      </w:r>
    </w:p>
    <w:p>
      <w:r>
        <w:br w:type="page"/>
      </w:r>
    </w:p>
    <w:p>
      <w:pPr>
        <w:pStyle w:val="Heading1"/>
        <w:keepNext/>
        <w:spacing w:after="80"/>
      </w:pPr>
      <w:r>
        <w:rPr>
          <w:b/>
          <w:color w:val="1F3864"/>
          <w:sz w:val="30"/>
        </w:rPr>
        <w:t>12 - Risk Factors and Mitigations</w:t>
      </w:r>
    </w:p>
    <w:p>
      <w:r>
        <w:rPr>
          <w:b w:val="0"/>
          <w:i w:val="0"/>
          <w:sz w:val="21"/>
        </w:rPr>
        <w:t>The dominant risks are the newco's lack of operating history and the census ramp - both mitigated by benchmarked economics, a clean certified license, one, an experienced operator, and a capital structure with a 33% equity injection and a disciplined, no-revolver working-capital plan. The interim-debt window (closing to SBA funding) carries zero debt service - the seller note is fully deferred until prepayment review clears.</w:t>
      </w:r>
    </w:p>
    <w:tbl>
      <w:tblPr>
        <w:tblStyle w:val="LightGrid-Accent1"/>
        <w:tblW w:type="auto" w:w="0"/>
        <w:jc w:val="left"/>
        <w:tblLook w:firstColumn="1" w:firstRow="1" w:lastColumn="0" w:lastRow="0" w:noHBand="0" w:noVBand="1" w:val="04A0"/>
      </w:tblPr>
      <w:tblGrid>
        <w:gridCol w:w="2160"/>
        <w:gridCol w:w="2160"/>
        <w:gridCol w:w="2160"/>
        <w:gridCol w:w="2160"/>
      </w:tblGrid>
      <w:tr>
        <w:trPr>
          <w:tblHeader w:val="true"/>
        </w:trPr>
        <w:tc>
          <w:tcPr>
            <w:tcW w:type="dxa" w:w="2448"/>
          </w:tcPr>
          <w:p>
            <w:r/>
            <w:r>
              <w:rPr>
                <w:b/>
                <w:sz w:val="19"/>
              </w:rPr>
              <w:t>Risk</w:t>
            </w:r>
          </w:p>
        </w:tc>
        <w:tc>
          <w:tcPr>
            <w:tcW w:type="dxa" w:w="864"/>
          </w:tcPr>
          <w:p>
            <w:r/>
            <w:r>
              <w:rPr>
                <w:b/>
                <w:sz w:val="19"/>
              </w:rPr>
              <w:t>Prob.</w:t>
            </w:r>
          </w:p>
        </w:tc>
        <w:tc>
          <w:tcPr>
            <w:tcW w:type="dxa" w:w="1008"/>
          </w:tcPr>
          <w:p>
            <w:r/>
            <w:r>
              <w:rPr>
                <w:b/>
                <w:sz w:val="19"/>
              </w:rPr>
              <w:t>Impact</w:t>
            </w:r>
          </w:p>
        </w:tc>
        <w:tc>
          <w:tcPr>
            <w:tcW w:type="dxa" w:w="5040"/>
          </w:tcPr>
          <w:p>
            <w:r/>
            <w:r>
              <w:rPr>
                <w:b/>
                <w:sz w:val="19"/>
              </w:rPr>
              <w:t>Mitigation</w:t>
            </w:r>
          </w:p>
        </w:tc>
      </w:tr>
      <w:tr>
        <w:tc>
          <w:tcPr>
            <w:tcW w:type="dxa" w:w="2448"/>
          </w:tcPr>
          <w:p>
            <w:r/>
            <w:r>
              <w:rPr>
                <w:sz w:val="19"/>
              </w:rPr>
              <w:t>Debt service / coverage</w:t>
            </w:r>
          </w:p>
        </w:tc>
        <w:tc>
          <w:tcPr>
            <w:tcW w:type="dxa" w:w="864"/>
          </w:tcPr>
          <w:p>
            <w:r/>
            <w:r>
              <w:rPr>
                <w:sz w:val="19"/>
              </w:rPr>
              <w:t>Low</w:t>
            </w:r>
          </w:p>
        </w:tc>
        <w:tc>
          <w:tcPr>
            <w:tcW w:type="dxa" w:w="1008"/>
          </w:tcPr>
          <w:p>
            <w:r/>
            <w:r>
              <w:rPr>
                <w:sz w:val="19"/>
              </w:rPr>
              <w:t>Med</w:t>
            </w:r>
          </w:p>
        </w:tc>
        <w:tc>
          <w:tcPr>
            <w:tcW w:type="dxa" w:w="5040"/>
          </w:tcPr>
          <w:p>
            <w:r/>
            <w:r>
              <w:rPr>
                <w:sz w:val="19"/>
              </w:rPr>
              <w:t>EBITDA covers recurring service 3.7x -&gt; 8.6x -&gt; 12.2x; the only debt after month 2 is the single $6,747/mo SBA payment</w:t>
            </w:r>
          </w:p>
        </w:tc>
      </w:tr>
      <w:tr>
        <w:tc>
          <w:tcPr>
            <w:tcW w:type="dxa" w:w="2448"/>
          </w:tcPr>
          <w:p>
            <w:r/>
            <w:r>
              <w:rPr>
                <w:sz w:val="19"/>
              </w:rPr>
              <w:t>Prepayment review (PPEO)</w:t>
            </w:r>
          </w:p>
        </w:tc>
        <w:tc>
          <w:tcPr>
            <w:tcW w:type="dxa" w:w="864"/>
          </w:tcPr>
          <w:p>
            <w:r/>
            <w:r>
              <w:rPr>
                <w:sz w:val="19"/>
              </w:rPr>
              <w:t>High (certain)</w:t>
            </w:r>
          </w:p>
        </w:tc>
        <w:tc>
          <w:tcPr>
            <w:tcW w:type="dxa" w:w="1008"/>
          </w:tcPr>
          <w:p>
            <w:r/>
            <w:r>
              <w:rPr>
                <w:sz w:val="19"/>
              </w:rPr>
              <w:t>Med</w:t>
            </w:r>
          </w:p>
        </w:tc>
        <w:tc>
          <w:tcPr>
            <w:tcW w:type="dxa" w:w="5040"/>
          </w:tcPr>
          <w:p>
            <w:r/>
            <w:r>
              <w:rPr>
                <w:sz w:val="19"/>
              </w:rPr>
              <w:t>First claims enter 42 CFR 424.527 review; $435K reserve (58% of project) + fully deferred seller note carry the window; 4-month downside needs $99K vs $250K equity - disclosed, not plugged</w:t>
            </w:r>
          </w:p>
        </w:tc>
      </w:tr>
      <w:tr>
        <w:tc>
          <w:tcPr>
            <w:tcW w:type="dxa" w:w="2448"/>
          </w:tcPr>
          <w:p>
            <w:r/>
            <w:r>
              <w:rPr>
                <w:sz w:val="19"/>
              </w:rPr>
              <w:t>Slower census ramp</w:t>
            </w:r>
          </w:p>
        </w:tc>
        <w:tc>
          <w:tcPr>
            <w:tcW w:type="dxa" w:w="864"/>
          </w:tcPr>
          <w:p>
            <w:r/>
            <w:r>
              <w:rPr>
                <w:sz w:val="19"/>
              </w:rPr>
              <w:t>Med</w:t>
            </w:r>
          </w:p>
        </w:tc>
        <w:tc>
          <w:tcPr>
            <w:tcW w:type="dxa" w:w="1008"/>
          </w:tcPr>
          <w:p>
            <w:r/>
            <w:r>
              <w:rPr>
                <w:sz w:val="19"/>
              </w:rPr>
              <w:t>High</w:t>
            </w:r>
          </w:p>
        </w:tc>
        <w:tc>
          <w:tcPr>
            <w:tcW w:type="dxa" w:w="5040"/>
          </w:tcPr>
          <w:p>
            <w:r/>
            <w:r>
              <w:rPr>
                <w:sz w:val="19"/>
              </w:rPr>
              <w:t>Break-even ~17-18 patients vs 24 by month 2; hires are census-gated and lag one month so cost flexes with volume; documented downside needs only ~$30K of additional capital (disclosed; covered by the note raise)</w:t>
            </w:r>
          </w:p>
        </w:tc>
      </w:tr>
      <w:tr>
        <w:tc>
          <w:tcPr>
            <w:tcW w:type="dxa" w:w="2448"/>
          </w:tcPr>
          <w:p>
            <w:r/>
            <w:r>
              <w:rPr>
                <w:sz w:val="19"/>
              </w:rPr>
              <w:t>Ramp cash timing (Medicare NOE lag)</w:t>
            </w:r>
          </w:p>
        </w:tc>
        <w:tc>
          <w:tcPr>
            <w:tcW w:type="dxa" w:w="864"/>
          </w:tcPr>
          <w:p>
            <w:r/>
            <w:r>
              <w:rPr>
                <w:sz w:val="19"/>
              </w:rPr>
              <w:t>Med</w:t>
            </w:r>
          </w:p>
        </w:tc>
        <w:tc>
          <w:tcPr>
            <w:tcW w:type="dxa" w:w="1008"/>
          </w:tcPr>
          <w:p>
            <w:r/>
            <w:r>
              <w:rPr>
                <w:sz w:val="19"/>
              </w:rPr>
              <w:t>Med</w:t>
            </w:r>
          </w:p>
        </w:tc>
        <w:tc>
          <w:tcPr>
            <w:tcW w:type="dxa" w:w="5040"/>
          </w:tcPr>
          <w:p>
            <w:r/>
            <w:r>
              <w:rPr>
                <w:sz w:val="19"/>
              </w:rPr>
              <w:t>Collections lag of ~30-60 days is modeled month by month; reserve sized to carry payroll ahead of collections</w:t>
            </w:r>
          </w:p>
        </w:tc>
      </w:tr>
      <w:tr>
        <w:tc>
          <w:tcPr>
            <w:tcW w:type="dxa" w:w="2448"/>
          </w:tcPr>
          <w:p>
            <w:r/>
            <w:r>
              <w:rPr>
                <w:sz w:val="19"/>
              </w:rPr>
              <w:t>Wage inflation</w:t>
            </w:r>
          </w:p>
        </w:tc>
        <w:tc>
          <w:tcPr>
            <w:tcW w:type="dxa" w:w="864"/>
          </w:tcPr>
          <w:p>
            <w:r/>
            <w:r>
              <w:rPr>
                <w:sz w:val="19"/>
              </w:rPr>
              <w:t>Med</w:t>
            </w:r>
          </w:p>
        </w:tc>
        <w:tc>
          <w:tcPr>
            <w:tcW w:type="dxa" w:w="1008"/>
          </w:tcPr>
          <w:p>
            <w:r/>
            <w:r>
              <w:rPr>
                <w:sz w:val="19"/>
              </w:rPr>
              <w:t>Med</w:t>
            </w:r>
          </w:p>
        </w:tc>
        <w:tc>
          <w:tcPr>
            <w:tcW w:type="dxa" w:w="5040"/>
          </w:tcPr>
          <w:p>
            <w:r/>
            <w:r>
              <w:rPr>
                <w:sz w:val="19"/>
              </w:rPr>
              <w:t>22% + 3% benefits and workers compensation load fully modeled; census-gated hiring; PRN pool buffers</w:t>
            </w:r>
          </w:p>
        </w:tc>
      </w:tr>
      <w:tr>
        <w:tc>
          <w:tcPr>
            <w:tcW w:type="dxa" w:w="2448"/>
          </w:tcPr>
          <w:p>
            <w:r/>
            <w:r>
              <w:rPr>
                <w:sz w:val="19"/>
              </w:rPr>
              <w:t>CMS rate / regulatory change</w:t>
            </w:r>
          </w:p>
        </w:tc>
        <w:tc>
          <w:tcPr>
            <w:tcW w:type="dxa" w:w="864"/>
          </w:tcPr>
          <w:p>
            <w:r/>
            <w:r>
              <w:rPr>
                <w:sz w:val="19"/>
              </w:rPr>
              <w:t>Low</w:t>
            </w:r>
          </w:p>
        </w:tc>
        <w:tc>
          <w:tcPr>
            <w:tcW w:type="dxa" w:w="1008"/>
          </w:tcPr>
          <w:p>
            <w:r/>
            <w:r>
              <w:rPr>
                <w:sz w:val="19"/>
              </w:rPr>
              <w:t>Med</w:t>
            </w:r>
          </w:p>
        </w:tc>
        <w:tc>
          <w:tcPr>
            <w:tcW w:type="dxa" w:w="5040"/>
          </w:tcPr>
          <w:p>
            <w:r/>
            <w:r>
              <w:rPr>
                <w:sz w:val="19"/>
              </w:rPr>
              <w:t>Rates up or flat every year since 2010; only a conservative 2.5%/yr escalation assumed; the enrollment moratorium that constrains supply also protects the license's value</w:t>
            </w:r>
          </w:p>
        </w:tc>
      </w:tr>
      <w:tr>
        <w:tc>
          <w:tcPr>
            <w:tcW w:type="dxa" w:w="2448"/>
          </w:tcPr>
          <w:p>
            <w:r/>
            <w:r>
              <w:rPr>
                <w:sz w:val="19"/>
              </w:rPr>
              <w:t>Key-person dependency</w:t>
            </w:r>
          </w:p>
        </w:tc>
        <w:tc>
          <w:tcPr>
            <w:tcW w:type="dxa" w:w="864"/>
          </w:tcPr>
          <w:p>
            <w:r/>
            <w:r>
              <w:rPr>
                <w:sz w:val="19"/>
              </w:rPr>
              <w:t>Low</w:t>
            </w:r>
          </w:p>
        </w:tc>
        <w:tc>
          <w:tcPr>
            <w:tcW w:type="dxa" w:w="1008"/>
          </w:tcPr>
          <w:p>
            <w:r/>
            <w:r>
              <w:rPr>
                <w:sz w:val="19"/>
              </w:rPr>
              <w:t>Med</w:t>
            </w:r>
          </w:p>
        </w:tc>
        <w:tc>
          <w:tcPr>
            <w:tcW w:type="dxa" w:w="5040"/>
          </w:tcPr>
          <w:p>
            <w:r/>
            <w:r>
              <w:rPr>
                <w:sz w:val="19"/>
              </w:rPr>
              <w:t>Operators are owners (13.3% each, milestone-vested); Administrator leads day-to-day; OA key-person succession provisions</w:t>
            </w:r>
          </w:p>
        </w:tc>
      </w:tr>
      <w:tr>
        <w:tc>
          <w:tcPr>
            <w:tcW w:type="dxa" w:w="2448"/>
          </w:tcPr>
          <w:p>
            <w:r/>
            <w:r>
              <w:rPr>
                <w:sz w:val="19"/>
              </w:rPr>
              <w:t>Equity injection phased</w:t>
            </w:r>
          </w:p>
        </w:tc>
        <w:tc>
          <w:tcPr>
            <w:tcW w:type="dxa" w:w="864"/>
          </w:tcPr>
          <w:p>
            <w:r/>
            <w:r>
              <w:rPr>
                <w:sz w:val="19"/>
              </w:rPr>
              <w:t>Low</w:t>
            </w:r>
          </w:p>
        </w:tc>
        <w:tc>
          <w:tcPr>
            <w:tcW w:type="dxa" w:w="1008"/>
          </w:tcPr>
          <w:p>
            <w:r/>
            <w:r>
              <w:rPr>
                <w:sz w:val="19"/>
              </w:rPr>
              <w:t>Low</w:t>
            </w:r>
          </w:p>
        </w:tc>
        <w:tc>
          <w:tcPr>
            <w:tcW w:type="dxa" w:w="5040"/>
          </w:tcPr>
          <w:p>
            <w:r/>
            <w:r>
              <w:rPr>
                <w:sz w:val="19"/>
              </w:rPr>
              <w:t>$100K wired 5/7/2026; balance committed (Bullard $95K + Schackmann $55K); SBA disbursement sequenced after full injection per SOP 50 10 8</w:t>
            </w:r>
          </w:p>
        </w:tc>
      </w:tr>
      <w:tr>
        <w:tc>
          <w:tcPr>
            <w:tcW w:type="dxa" w:w="2448"/>
          </w:tcPr>
          <w:p>
            <w:r/>
            <w:r>
              <w:rPr>
                <w:sz w:val="19"/>
              </w:rPr>
              <w:t>Newco / no operating history</w:t>
            </w:r>
          </w:p>
        </w:tc>
        <w:tc>
          <w:tcPr>
            <w:tcW w:type="dxa" w:w="864"/>
          </w:tcPr>
          <w:p>
            <w:r/>
            <w:r>
              <w:rPr>
                <w:sz w:val="19"/>
              </w:rPr>
              <w:t>Med</w:t>
            </w:r>
          </w:p>
        </w:tc>
        <w:tc>
          <w:tcPr>
            <w:tcW w:type="dxa" w:w="1008"/>
          </w:tcPr>
          <w:p>
            <w:r/>
            <w:r>
              <w:rPr>
                <w:sz w:val="19"/>
              </w:rPr>
              <w:t>Med</w:t>
            </w:r>
          </w:p>
        </w:tc>
        <w:tc>
          <w:tcPr>
            <w:tcW w:type="dxa" w:w="5040"/>
          </w:tcPr>
          <w:p>
            <w:r/>
            <w:r>
              <w:rPr>
                <w:sz w:val="19"/>
              </w:rPr>
              <w:t>Dual-certified, billing-ready license; economics benchmarked to the team's own actual collections; operator has 10+ years of hospice ownership; 33% equity injection</w:t>
            </w:r>
          </w:p>
        </w:tc>
      </w:tr>
    </w:tbl>
    <w:p>
      <w:r>
        <w:br w:type="page"/>
      </w:r>
    </w:p>
    <w:p>
      <w:pPr>
        <w:pStyle w:val="Heading1"/>
        <w:keepNext/>
        <w:spacing w:after="80"/>
      </w:pPr>
      <w:r>
        <w:rPr>
          <w:b/>
          <w:color w:val="1F3864"/>
          <w:sz w:val="30"/>
        </w:rPr>
        <w:t>13 - Milestones and Conclusion</w:t>
      </w:r>
    </w:p>
    <w:p>
      <w:pPr>
        <w:pStyle w:val="Heading2"/>
        <w:keepNext/>
        <w:spacing w:before="160" w:after="40"/>
      </w:pPr>
      <w:r>
        <w:rPr>
          <w:b/>
          <w:color w:val="1F3864"/>
          <w:sz w:val="23"/>
        </w:rPr>
        <w:t>13.1 Launch &amp; growth milestones</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2016"/>
          </w:tcPr>
          <w:p>
            <w:r/>
            <w:r>
              <w:rPr>
                <w:b/>
                <w:sz w:val="19"/>
              </w:rPr>
              <w:t>Window</w:t>
            </w:r>
          </w:p>
        </w:tc>
        <w:tc>
          <w:tcPr>
            <w:tcW w:type="dxa" w:w="4320"/>
          </w:tcPr>
          <w:p>
            <w:r/>
            <w:r>
              <w:rPr>
                <w:b/>
                <w:sz w:val="19"/>
              </w:rPr>
              <w:t>Milestone</w:t>
            </w:r>
          </w:p>
        </w:tc>
        <w:tc>
          <w:tcPr>
            <w:tcW w:type="dxa" w:w="3024"/>
          </w:tcPr>
          <w:p>
            <w:r/>
            <w:r>
              <w:rPr>
                <w:b/>
                <w:sz w:val="19"/>
              </w:rPr>
              <w:t>Verification</w:t>
            </w:r>
          </w:p>
        </w:tc>
      </w:tr>
      <w:tr>
        <w:tc>
          <w:tcPr>
            <w:tcW w:type="dxa" w:w="2016"/>
          </w:tcPr>
          <w:p>
            <w:r/>
            <w:r>
              <w:rPr>
                <w:sz w:val="19"/>
              </w:rPr>
              <w:t>Through July 2026</w:t>
            </w:r>
          </w:p>
        </w:tc>
        <w:tc>
          <w:tcPr>
            <w:tcW w:type="dxa" w:w="4320"/>
          </w:tcPr>
          <w:p>
            <w:r/>
            <w:r>
              <w:rPr>
                <w:sz w:val="19"/>
              </w:rPr>
              <w:t>Full $250K equity injection on deposit (Bullard $195K + Schackmann $55K)</w:t>
            </w:r>
          </w:p>
        </w:tc>
        <w:tc>
          <w:tcPr>
            <w:tcW w:type="dxa" w:w="3024"/>
          </w:tcPr>
          <w:p>
            <w:r/>
            <w:r>
              <w:rPr>
                <w:sz w:val="19"/>
              </w:rPr>
              <w:t>Bank statements + source-of-funds documentation</w:t>
            </w:r>
          </w:p>
        </w:tc>
      </w:tr>
      <w:tr>
        <w:tc>
          <w:tcPr>
            <w:tcW w:type="dxa" w:w="2016"/>
          </w:tcPr>
          <w:p>
            <w:r/>
            <w:r>
              <w:rPr>
                <w:sz w:val="19"/>
              </w:rPr>
              <w:t>At CHOW approval</w:t>
            </w:r>
          </w:p>
        </w:tc>
        <w:tc>
          <w:tcPr>
            <w:tcW w:type="dxa" w:w="4320"/>
          </w:tcPr>
          <w:p>
            <w:r/>
            <w:r>
              <w:rPr>
                <w:sz w:val="19"/>
              </w:rPr>
              <w:t>Close: 100% of Avant interests; nothing due at close</w:t>
            </w:r>
          </w:p>
        </w:tc>
        <w:tc>
          <w:tcPr>
            <w:tcW w:type="dxa" w:w="3024"/>
          </w:tcPr>
          <w:p>
            <w:r/>
            <w:r>
              <w:rPr>
                <w:sz w:val="19"/>
              </w:rPr>
              <w:t>Executed MIPA + CHOW approval letter</w:t>
            </w:r>
          </w:p>
        </w:tc>
      </w:tr>
      <w:tr>
        <w:tc>
          <w:tcPr>
            <w:tcW w:type="dxa" w:w="2016"/>
          </w:tcPr>
          <w:p>
            <w:r/>
            <w:r>
              <w:rPr>
                <w:sz w:val="19"/>
              </w:rPr>
              <w:t>Month 2</w:t>
            </w:r>
          </w:p>
        </w:tc>
        <w:tc>
          <w:tcPr>
            <w:tcW w:type="dxa" w:w="4320"/>
          </w:tcPr>
          <w:p>
            <w:r/>
            <w:r>
              <w:rPr>
                <w:sz w:val="19"/>
              </w:rPr>
              <w:t>SBA loan funds; seller note (~$303K) retired</w:t>
            </w:r>
          </w:p>
        </w:tc>
        <w:tc>
          <w:tcPr>
            <w:tcW w:type="dxa" w:w="3024"/>
          </w:tcPr>
          <w:p>
            <w:r/>
            <w:r>
              <w:rPr>
                <w:sz w:val="19"/>
              </w:rPr>
              <w:t>Payoff letter + loan statements</w:t>
            </w:r>
          </w:p>
        </w:tc>
      </w:tr>
      <w:tr>
        <w:tc>
          <w:tcPr>
            <w:tcW w:type="dxa" w:w="2016"/>
          </w:tcPr>
          <w:p>
            <w:r/>
            <w:r>
              <w:rPr>
                <w:sz w:val="19"/>
              </w:rPr>
              <w:t>Months 1-3</w:t>
            </w:r>
          </w:p>
        </w:tc>
        <w:tc>
          <w:tcPr>
            <w:tcW w:type="dxa" w:w="4320"/>
          </w:tcPr>
          <w:p>
            <w:r/>
            <w:r>
              <w:rPr>
                <w:sz w:val="19"/>
              </w:rPr>
              <w:t>CMS-855A ownership updates filed; team seated; EMR live; census 24 by month 2</w:t>
            </w:r>
          </w:p>
        </w:tc>
        <w:tc>
          <w:tcPr>
            <w:tcW w:type="dxa" w:w="3024"/>
          </w:tcPr>
          <w:p>
            <w:r/>
            <w:r>
              <w:rPr>
                <w:sz w:val="19"/>
              </w:rPr>
              <w:t>855A receipts + payroll + census reports</w:t>
            </w:r>
          </w:p>
        </w:tc>
      </w:tr>
      <w:tr>
        <w:tc>
          <w:tcPr>
            <w:tcW w:type="dxa" w:w="2016"/>
          </w:tcPr>
          <w:p>
            <w:r/>
            <w:r>
              <w:rPr>
                <w:sz w:val="19"/>
              </w:rPr>
              <w:t>Months 4-6</w:t>
            </w:r>
          </w:p>
        </w:tc>
        <w:tc>
          <w:tcPr>
            <w:tcW w:type="dxa" w:w="4320"/>
          </w:tcPr>
          <w:p>
            <w:r/>
            <w:r>
              <w:rPr>
                <w:sz w:val="19"/>
              </w:rPr>
              <w:t>BD ramp; census 34 by month 6; AR normalizes to ~45-day cycle</w:t>
            </w:r>
          </w:p>
        </w:tc>
        <w:tc>
          <w:tcPr>
            <w:tcW w:type="dxa" w:w="3024"/>
          </w:tcPr>
          <w:p>
            <w:r/>
            <w:r>
              <w:rPr>
                <w:sz w:val="19"/>
              </w:rPr>
              <w:t>CRM report + AR aging &lt; 45 days</w:t>
            </w:r>
          </w:p>
        </w:tc>
      </w:tr>
      <w:tr>
        <w:tc>
          <w:tcPr>
            <w:tcW w:type="dxa" w:w="2016"/>
          </w:tcPr>
          <w:p>
            <w:r/>
            <w:r>
              <w:rPr>
                <w:sz w:val="19"/>
              </w:rPr>
              <w:t>Months 2-4</w:t>
            </w:r>
          </w:p>
        </w:tc>
        <w:tc>
          <w:tcPr>
            <w:tcW w:type="dxa" w:w="4320"/>
          </w:tcPr>
          <w:p>
            <w:r/>
            <w:r>
              <w:rPr>
                <w:sz w:val="19"/>
              </w:rPr>
              <w:t>Prepayment review (if imposed) cleared on the seed census; full-rate billing confirmed</w:t>
            </w:r>
          </w:p>
        </w:tc>
        <w:tc>
          <w:tcPr>
            <w:tcW w:type="dxa" w:w="3024"/>
          </w:tcPr>
          <w:p>
            <w:r/>
            <w:r>
              <w:rPr>
                <w:sz w:val="19"/>
              </w:rPr>
              <w:t>Palmetto GBA release notice + remittance advices</w:t>
            </w:r>
          </w:p>
        </w:tc>
      </w:tr>
      <w:tr>
        <w:tc>
          <w:tcPr>
            <w:tcW w:type="dxa" w:w="2016"/>
          </w:tcPr>
          <w:p>
            <w:r/>
            <w:r>
              <w:rPr>
                <w:sz w:val="19"/>
              </w:rPr>
              <w:t>Months 7-12</w:t>
            </w:r>
          </w:p>
        </w:tc>
        <w:tc>
          <w:tcPr>
            <w:tcW w:type="dxa" w:w="4320"/>
          </w:tcPr>
          <w:p>
            <w:r/>
            <w:r>
              <w:rPr>
                <w:sz w:val="19"/>
              </w:rPr>
              <w:t>Census 40 by month 12; month-12 EBITDA margin 22.3%</w:t>
            </w:r>
          </w:p>
        </w:tc>
        <w:tc>
          <w:tcPr>
            <w:tcW w:type="dxa" w:w="3024"/>
          </w:tcPr>
          <w:p>
            <w:r/>
            <w:r>
              <w:rPr>
                <w:sz w:val="19"/>
              </w:rPr>
              <w:t>Monthly financials</w:t>
            </w:r>
          </w:p>
        </w:tc>
      </w:tr>
      <w:tr>
        <w:tc>
          <w:tcPr>
            <w:tcW w:type="dxa" w:w="2016"/>
          </w:tcPr>
          <w:p>
            <w:r/>
            <w:r>
              <w:rPr>
                <w:sz w:val="19"/>
              </w:rPr>
              <w:t>Years 2-3</w:t>
            </w:r>
          </w:p>
        </w:tc>
        <w:tc>
          <w:tcPr>
            <w:tcW w:type="dxa" w:w="4320"/>
          </w:tcPr>
          <w:p>
            <w:r/>
            <w:r>
              <w:rPr>
                <w:sz w:val="19"/>
              </w:rPr>
              <w:t>Census 50 by month 24 and 56 by month 36; coverage rising on census-gated hiring</w:t>
            </w:r>
          </w:p>
        </w:tc>
        <w:tc>
          <w:tcPr>
            <w:tcW w:type="dxa" w:w="3024"/>
          </w:tcPr>
          <w:p>
            <w:r/>
            <w:r>
              <w:rPr>
                <w:sz w:val="19"/>
              </w:rPr>
              <w:t>Board reviews of monthly financials</w:t>
            </w:r>
          </w:p>
        </w:tc>
      </w:tr>
    </w:tbl>
    <w:p>
      <w:pPr>
        <w:pStyle w:val="Heading2"/>
        <w:keepNext/>
        <w:spacing w:before="160" w:after="40"/>
      </w:pPr>
      <w:r>
        <w:rPr>
          <w:b/>
          <w:color w:val="1F3864"/>
          <w:sz w:val="23"/>
        </w:rPr>
        <w:t>13.2 Conclusion</w:t>
      </w:r>
    </w:p>
    <w:p>
      <w:r>
        <w:rPr>
          <w:b w:val="0"/>
          <w:i w:val="0"/>
          <w:sz w:val="21"/>
        </w:rPr>
        <w:t>Azalea is a well-structured SBA 7(a) opportunity: the acquisition of a scarce, Medicare-certified Texas hospice license (Avant Hospice, LLC; CCN 741798), led by an operator with 10+ years of hospice ownership and a seated East-Texas team returning to census levels it has operated at before. The credit rests on four verifiable points: (1) the license itself - under the CMS nationwide enrollment moratorium, comparable Medicare-certified licenses trade in the $225-350K band, placing the $300,000 purchase price inside the band while the moratorium constrains new competition; (2) benchmarked economics - the model's rates and costs reconcile to the team's own prior Tyler-market actuals, with break-even (~17-18 patients) crossed in month 2; (3) strong coverage - net income of $131K / $472K / $733K covers the single $6,747 monthly SBA payment 3.7x -&gt; 8.6x -&gt; 12.2x, with the seller note fully deferred until the prepayment-review gate clears and retired at the month-2 SBA funding; and (4) a well-capitalized, honestly modeled structure - a $250,000 cash injection (33% of the $750,000 project) and a working-capital plan that keeps base-case cash positive (minimum month-end cash $192,358) with no revolver or assumed facility anywhere in the model. The binding risk is a Medicare prepayment review holding early claims during the ramp; it is modeled head-on (a two-month base-case hold, four months in the downside, which still ends month 36 at $444K cash), and the fully deferred seller note means no seller payment is due until Medicare cash is actually flowing.</w:t>
      </w:r>
    </w:p>
    <w:p>
      <w:r>
        <w:rPr>
          <w:b w:val="0"/>
          <w:i w:val="0"/>
          <w:sz w:val="21"/>
        </w:rPr>
      </w:r>
    </w:p>
    <w:p>
      <w:r>
        <w:rPr>
          <w:b w:val="0"/>
          <w:i/>
          <w:color w:val="606060"/>
          <w:sz w:val="16"/>
        </w:rPr>
        <w:t>Rev 7.00 - August 2026 (Avant target). This plan is computed from the Rev 5.00 AVANT proforma (Azalea_Hospice_Proforma_Rev5.00_AVANT.xlsx), the single source of truth for all financial figures. Confidential - do not distribute without written consent.</w:t>
      </w:r>
    </w:p>
    <w:p>
      <w:r>
        <w:rPr>
          <w:b w:val="0"/>
          <w:i w:val="0"/>
          <w:sz w:val="21"/>
        </w:rPr>
      </w:r>
    </w:p>
    <w:p>
      <w:r>
        <w:rPr>
          <w:b w:val="0"/>
          <w:i/>
          <w:color w:val="606060"/>
          <w:sz w:val="16"/>
        </w:rPr>
        <w:t>Prepared for the SBA 7(a) loan application of Tyler Hospice Hold, LLC (dba Azalea Hospice &amp; Palliative Care). Confidential.</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Azalea Hospice - SBA Business Plan Rev 7.00 (Avant) | Confidential | </w:t>
    </w:r>
    <w:r>
      <w:rPr>
        <w:sz w:val="16"/>
      </w:rPr>
      <w:t xml:space="preserve">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