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Draft email to John Hart</w:t>
      </w:r>
    </w:p>
    <w:p>
      <w:r>
        <w:rPr>
          <w:b/>
          <w:sz w:val="20"/>
        </w:rPr>
        <w:t>To: john.hart@sourcefundingtexas.com | From: gs@h-care.us | Subject: Azalea Hospice - updated SBA package</w:t>
      </w:r>
    </w:p>
    <w:p>
      <w:r>
        <w:rPr>
          <w:b w:val="0"/>
          <w:sz w:val="20"/>
        </w:rPr>
        <w:t>John,</w:t>
      </w:r>
    </w:p>
    <w:p>
      <w:r>
        <w:rPr>
          <w:b w:val="0"/>
          <w:sz w:val="20"/>
        </w:rPr>
        <w:t>Target update, and this one simplifies the file rather than complicating it. We are moving forward with Avant Hospice, LLC, a Texas Medicare-certified license (CCN 741798), at $300,000 - down from the prior $500,000 target. Same operating plan, same team, same Tyler market; the acquisition just costs $200,000 less.</w:t>
      </w:r>
    </w:p>
    <w:p>
      <w:r>
        <w:rPr>
          <w:b w:val="0"/>
          <w:sz w:val="20"/>
        </w:rPr>
        <w:t>The structure also answers the funding-timing concern you raised directly: this is a 100% membership transfer at CHOW approval, so the license is fully in the borrower's name from day one - no split closing, no waiting period. The seller (a single individual owner) carries the entire $300,000 at 6% simple with NO down payment and NO installments until Medicare's prepayment review clears; the SBA loan funds at month 2 and retires the note in full (~$303,000 including accrued interest), with the remaining ~$197,000 going to working capital. One loan, one debt, one payment of $6,747 a month after funding. Equity injection is unchanged: $250,000 cash, a third of the $750,000 project - Jim Bullard $195K (first $100K already wired) and $55K from me.</w:t>
      </w:r>
    </w:p>
    <w:p>
      <w:r>
        <w:rPr>
          <w:b w:val="0"/>
          <w:sz w:val="20"/>
        </w:rPr>
        <w:t>Attached: the filled Company Profile, Use of Proceeds, and Business Debt Schedule from your checklist, an item-by-item status on everything else, the purchase agreement, and the financial model (monthly for 36 months with written assumptions - officer salaries split out like you asked). My personal returns for 2022-2024 are ready to send separately, 2025 is with the CPA.</w:t>
      </w:r>
    </w:p>
    <w:p>
      <w:r>
        <w:rPr>
          <w:b w:val="0"/>
          <w:sz w:val="20"/>
        </w:rPr>
        <w:t>Still collecting: my 413 and cash flow statement, the sellers' interim financials and returns, and the office lease. Item-by-item status is in the attachment so your lenders can see exactly where we are.</w:t>
      </w:r>
    </w:p>
    <w:p>
      <w:r>
        <w:rPr>
          <w:b w:val="0"/>
          <w:sz w:val="20"/>
        </w:rPr>
        <w:t>Call me with what your network needs beyond this. I would like to get this in front of them this week.</w:t>
      </w:r>
    </w:p>
    <w:p>
      <w:r>
        <w:rPr>
          <w:b w:val="0"/>
          <w:sz w:val="20"/>
        </w:rPr>
        <w:t>Thanks,</w:t>
      </w:r>
    </w:p>
    <w:p>
      <w:r>
        <w:rPr>
          <w:b w:val="0"/>
          <w:sz w:val="20"/>
        </w:rPr>
        <w:t>Geoff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Azalea Hospice - Cover Email Draft | Confidential | </w:t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