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Business Plan Addendum - Target Change to Avant Hospice, LLC</w:t>
      </w:r>
    </w:p>
    <w:p>
      <w:r>
        <w:rPr>
          <w:b/>
          <w:sz w:val="20"/>
        </w:rPr>
        <w:t>Tyler Hospice Hold, LLC | 8/14/2026 | Supplements Business Plan Rev 7.00</w:t>
      </w:r>
    </w:p>
    <w:p>
      <w:pPr>
        <w:pStyle w:val="Heading1"/>
        <w:keepNext/>
      </w:pPr>
      <w:r>
        <w:rPr>
          <w:color w:val="1F3B2D"/>
        </w:rPr>
        <w:t>What changed</w:t>
      </w:r>
    </w:p>
    <w:p>
      <w:r>
        <w:rPr>
          <w:b w:val="0"/>
          <w:sz w:val="20"/>
        </w:rPr>
        <w:t>The Company is now acquiring Avant Hospice, LLC, a Texas LLC (CMS CCN 741798, NPI 1699350090, TX HHSC license 020708, expiring 7/8/2027), for $300,000 - replacing the prior $500,000 target. The seller is Kimberly Carlisle, sole member. Payment terms agreed in principle 5/5/2026 and improved since: 6% simple interest, 100% of membership interests transfer at CHOW approval, and ALL payments are deferred until Medicare's prepayment review clears.</w:t>
      </w:r>
    </w:p>
    <w:p>
      <w:pPr>
        <w:pStyle w:val="Heading1"/>
        <w:keepNext/>
      </w:pPr>
      <w:r>
        <w:rPr>
          <w:color w:val="1F3B2D"/>
        </w:rPr>
        <w:t>Why this is a stronger structure for the lender</w:t>
      </w:r>
    </w:p>
    <w:p>
      <w:r>
        <w:rPr>
          <w:b w:val="0"/>
          <w:sz w:val="20"/>
        </w:rPr>
        <w:t>First, price: $300,000 is inside the $225-350K market band for Texas Medicare-only licenses, and $200,000 below the prior target - the loan-to-project economics improve accordingly. Second, timing: because 100% of the membership interests transfer at CHOW approval, the license is fully in the borrower's name from day one. There is no split closing, no 36-month staging, and no waiting period before SBA funds can move - the exact concern raised in underwriting review of the prior structure. Third, simplicity: no bridge or interim bank financing. The seller carries the full balance at 6% with nothing due until prepayment review clears, and the SBA loan retires the note directly at funding (month 2).</w:t>
      </w:r>
    </w:p>
    <w:p>
      <w:pPr>
        <w:pStyle w:val="Heading1"/>
        <w:keepNext/>
      </w:pPr>
      <w:r>
        <w:rPr>
          <w:color w:val="1F3B2D"/>
        </w:rPr>
        <w:t>Prepayment review, addressed head-on</w:t>
      </w:r>
    </w:p>
    <w:p>
      <w:r>
        <w:rPr>
          <w:b w:val="0"/>
          <w:sz w:val="20"/>
        </w:rPr>
        <w:t>Avant has never submitted a Medicare claim, so its first claims enter a provisional period of enhanced oversight with prepayment medical review (42 CFR 424.527) - typically 60-120 days of payment delay. The package is built around this rather than hoping it away: the working-capital reserve is $435,000 (58% of the project), the base case models a 2-month collection hold, a 4-month downside is disclosed (peak additional need $99K, against $250K of equity), and the seller's own payment deferral means no acquisition debt service competes with payroll during review.</w:t>
      </w:r>
    </w:p>
    <w:p>
      <w:pPr>
        <w:pStyle w:val="Heading1"/>
        <w:keepNext/>
      </w:pPr>
      <w:r>
        <w:rPr>
          <w:color w:val="1F3B2D"/>
        </w:rPr>
        <w:t>Financial projections</w:t>
      </w:r>
    </w:p>
    <w:p>
      <w:r>
        <w:rPr>
          <w:b w:val="0"/>
          <w:sz w:val="20"/>
        </w:rPr>
        <w:t>All projections are from the Rev 5.00 dynamic proforma (36 monthly periods, QA-verified): census reaching 24 patients by month 2, 34 by month 6, and 40 by month 12; EBITDA $299K year 1 (15.5%), $696K year 2 (24.1%), $985K year 3 (28.2%), before debt service; net income $131K / $472K / $733K. The model assumes no revolver or invented capital: base-case cash never goes negative (minimum month $192K), and after the month-2 takeout the company carries a single $6,747/month SBA payment. Global 3-year debt-service coverage is 3.7x including the one-time takeout. Officer salaries are separately stated (Administrator $150K, Director of Nursing $120K, Community Liaison $120K, Office Manager $60K).</w:t>
      </w:r>
    </w:p>
    <w:p>
      <w:pPr>
        <w:pStyle w:val="Heading1"/>
        <w:keepNext/>
      </w:pPr>
      <w:r>
        <w:rPr>
          <w:color w:val="1F3B2D"/>
        </w:rPr>
        <w:t>What has NOT changed</w:t>
      </w:r>
    </w:p>
    <w:p>
      <w:r>
        <w:rPr>
          <w:b w:val="0"/>
          <w:sz w:val="20"/>
        </w:rPr>
        <w:t>The operating team, the Tyler/Smith County market, the dba (Azalea Hospice &amp; Palliative Care), the entity (Tyler Hospice Hold, LLC, a Wyoming LLC with an S-corp election), the cap table (Schackmann 39.9% / Bullard 19.5% / three operators 13.3% each / 0.7% reserved), the executed Tyler lease, and the equity injection ($250,000 cash, 33%).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Azalea Hospice - Business Plan Addendum | Confidential | </w:t>
    </w:r>
    <w:r>
      <w:rPr>
        <w:sz w:val="16"/>
      </w:rPr>
      <w:t xml:space="preserve">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