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Projection Assumptions Narrative</w:t>
      </w:r>
    </w:p>
    <w:p>
      <w:r>
        <w:rPr>
          <w:b/>
          <w:sz w:val="20"/>
        </w:rPr>
        <w:t>Accompanies Azalea_Hospice_Proforma_Rev5.00_AVANT.xlsx (36 monthly periods; every calculation cell is a live formula; all inputs on the Control Tower tab) | 8/14/2026</w:t>
      </w:r>
    </w:p>
    <w:p>
      <w:pPr>
        <w:pStyle w:val="Heading1"/>
        <w:keepNext/>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keepNext/>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Payer mix is 100% Medicare (Avant is Medicare-only). Collections lag billing by ~30-60 days (NOE timing), PLUS a prepayment-review hold on first claims: 2 months in the base case, 4 in the disclosed downside - the cash-flow tab models both explicitly, month by month.</w:t>
      </w:r>
    </w:p>
    <w:p>
      <w:pPr>
        <w:pStyle w:val="Heading1"/>
        <w:keepNext/>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keepNext/>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keepNext/>
      </w:pPr>
      <w:r>
        <w:rPr>
          <w:color w:val="1F3B2D"/>
        </w:rPr>
        <w:t>Contingency</w:t>
      </w:r>
    </w:p>
    <w:p>
      <w:r>
        <w:rPr>
          <w:b w:val="0"/>
          <w:sz w:val="20"/>
        </w:rPr>
        <w:t>5% of net patient revenue is deducted below EBITDA as an explicit contingency in cash flow.</w:t>
      </w:r>
    </w:p>
    <w:p>
      <w:pPr>
        <w:pStyle w:val="Heading1"/>
        <w:keepNext/>
      </w:pPr>
      <w:r>
        <w:rPr>
          <w:color w:val="1F3B2D"/>
        </w:rPr>
        <w:t>Debt service</w:t>
      </w:r>
    </w:p>
    <w:p>
      <w:r>
        <w:rPr>
          <w:b w:val="0"/>
          <w:sz w:val="20"/>
        </w:rPr>
        <w:t>Base case (Rev 5.00 Avant): the seller carries the full $300,000 at 6% simple with nothing due; the SBA 7(a) funds at month 2 (the license is 100% in the borrower name from CHOW close) and retires the seller note (~$303,000 including accrued interest), leaving a single $6,747/month payment (10.5%/10-year) from month 3. Owner salaries defer until break-even census ($42,500 accrued, repaid after collections catch up); clinical hiring lags census one month with PRN coverage.</w:t>
      </w:r>
    </w:p>
    <w:p>
      <w:pPr>
        <w:pStyle w:val="Heading1"/>
        <w:keepNext/>
      </w:pPr>
      <w:r>
        <w:rPr>
          <w:color w:val="1F3B2D"/>
        </w:rPr>
        <w:t>Business Debt Schedule - detail</w:t>
      </w:r>
    </w:p>
    <w:p>
      <w:r>
        <w:rPr>
          <w:b w:val="0"/>
          <w:sz w:val="20"/>
        </w:rPr>
        <w:t>The Business Debt Schedule form carries a single line because there is only one piece of existing/interim debt in the structure: the seller note - $300,000 owed to Kimberly Carlisle (sole member of the target) at 6.00% simple interest, with NO down payment and NO scheduled installments; all payments are deferred until Medicare's prepayment review clears. The balance shown (~$303,000) is principal plus roughly two months of accrued interest at the SBA funding date (month 2). Collateral is the membership interests, and the note is expressly structured to be retired by the SBA loan at funding - it is not intended to remain outstanding alongside the SBA debt. The SBA loan itself does not appear as a line on this form because it is the loan being applied for, not existing debt; once it funds and retires the seller note, the business carries a single $6,747/month SBA payment going forward with no other debt.</w:t>
      </w:r>
    </w:p>
    <w:p>
      <w:pPr>
        <w:pStyle w:val="Heading1"/>
        <w:keepNext/>
      </w:pPr>
      <w:r>
        <w:rPr>
          <w:color w:val="1F3B2D"/>
        </w:rPr>
        <w:t>Results on these assumptions</w:t>
      </w:r>
    </w:p>
    <w:p>
      <w:r>
        <w:rPr>
          <w:b w:val="0"/>
          <w:sz w:val="20"/>
        </w:rPr>
        <w:t>EBITDA $299K year 1 (15.5% margin), $696K year 2 (24.1%), $985K year 3 (28.2%), before debt service; net income $131K / $472K / $733K; month-12 EBITDA margin 22.3%. Break-even census ~17-18 patients, crossed in month 2. The model carries no revolver or assumed facility: base-case cash never goes negative (minimum month $192K), and the documented downside (slow census plus a 4-month prepayment-review hold) needs ~$99K of additional capital against $250K of equity on deposit - shown honestly, not plugged.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Projection Assumptions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