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reply - SBA Follow up &amp; Questions thread</w:t>
      </w:r>
    </w:p>
    <w:p>
      <w:r>
        <w:rPr>
          <w:b/>
          <w:sz w:val="22"/>
        </w:rPr>
        <w:t>To: John Hart; Mary Brownmiller | From: gs@h-care.us | Re: SBA Follow up &amp; Questions</w:t>
      </w:r>
    </w:p>
    <w:p>
      <w:r>
        <w:rPr>
          <w:b w:val="0"/>
          <w:sz w:val="22"/>
        </w:rPr>
        <w:t>John and Mary,</w:t>
      </w:r>
    </w:p>
    <w:p>
      <w:r>
        <w:rPr>
          <w:b w:val="0"/>
          <w:sz w:val="22"/>
        </w:rPr>
        <w:t>First, an apology for the quiet stretch. The delay was on the acquisition side: the license we were originally acquiring did not make it through the process, and rather than force a weak asset into the file I moved the acquisition to a stronger one. That took a few weeks to negotiate and paper, and it changed some numbers, so I wanted to come back to you with a complete, consistent package instead of pieces.</w:t>
      </w:r>
    </w:p>
    <w:p>
      <w:r>
        <w:rPr>
          <w:b w:val="0"/>
          <w:sz w:val="22"/>
        </w:rPr>
        <w:t>The new target is Refuge Hospice, a Texas license certified for BOTH Medicare and Medicaid, ready to bill day one. The price went from $300K to $500K, and that increase is the certification, not deal creep. Texas has effectively frozen new Medicaid hospice enrollment and CMS put a national moratorium on new hospice enrollments in May, so dual certified licenses are scarce and trade at a premium. More importantly for the credit, Medicaid certification adds nursing facility room and board billing, which widens the referral base and directly increases revenue over a Medicare only license. Better asset, better collateral, better top line.</w:t>
      </w:r>
    </w:p>
    <w:p>
      <w:r>
        <w:rPr>
          <w:b/>
          <w:sz w:val="22"/>
        </w:rPr>
        <w:t>WHAT'S CHANGED since my last package:</w:t>
      </w:r>
    </w:p>
    <w:p>
      <w:pPr>
        <w:pStyle w:val="ListBullet"/>
      </w:pPr>
      <w:r>
        <w:rPr>
          <w:sz w:val="22"/>
        </w:rPr>
        <w:t>Target: Refuge Hospice, LLC ($500K, Medicare + Medicaid, CMS certified 1/8/2024) replaces the prior Medicare only license at $300K. Purchase agreement signed 7/14, structured 49% at closing and 51% in January per the CMS 36 month rule.</w:t>
      </w:r>
    </w:p>
    <w:p>
      <w:pPr>
        <w:pStyle w:val="ListBullet"/>
      </w:pPr>
      <w:r>
        <w:rPr>
          <w:sz w:val="22"/>
        </w:rPr>
        <w:t>Loan ask simplified to ONE SBA 7(a) loan of $500,000. The piggyback bank loan is gone. The seller carries $375K at 6% short term and the SBA loan takes that note out in September plus ramp working capital.</w:t>
      </w:r>
    </w:p>
    <w:p>
      <w:pPr>
        <w:pStyle w:val="ListBullet"/>
      </w:pPr>
      <w:r>
        <w:rPr>
          <w:sz w:val="22"/>
        </w:rPr>
        <w:t>Working capital reserve cut from $672K to $235K. John, this is your 6/3 note answered: the license bills immediately and the seller carries the acquisition until takeout, so the reserve is a bridge, not a parking lot. The attached workbook breaks the $235K into components with a month by month draw schedule, and I'm fine with the bank controlling disbursements against census milestones.</w:t>
      </w:r>
    </w:p>
    <w:p>
      <w:pPr>
        <w:pStyle w:val="ListBullet"/>
      </w:pPr>
      <w:r>
        <w:rPr>
          <w:sz w:val="22"/>
        </w:rPr>
        <w:t>Equity injection is now $250,000 cash, a full third of the $750,000 project. Jim Bullard $195K (first $100K wired in May) plus $55K from me.</w:t>
      </w:r>
    </w:p>
    <w:p>
      <w:pPr>
        <w:pStyle w:val="ListBullet"/>
      </w:pPr>
      <w:r>
        <w:rPr>
          <w:sz w:val="22"/>
        </w:rPr>
        <w:t>Office lease is signed. Fully executed 6/29 for our Tyler location, 24 months plus two 12 month options. One housekeeping item: the tenant on the lease is Hickory Hospice, LLC, the entity from the earlier deal, and it will be assigned to the correct operating entity before closing. The landlord relationship is friendly.</w:t>
      </w:r>
    </w:p>
    <w:p>
      <w:r>
        <w:rPr>
          <w:b/>
          <w:sz w:val="22"/>
        </w:rPr>
        <w:t>WHAT'S ATTACHED:</w:t>
      </w:r>
    </w:p>
    <w:p>
      <w:pPr>
        <w:pStyle w:val="ListBullet"/>
      </w:pPr>
      <w:r>
        <w:rPr>
          <w:sz w:val="22"/>
        </w:rPr>
        <w:t>Use of proceeds workbook in your format: loan structure, the $235K working capital detail with draw timeline, and the seller note takeout schedule.</w:t>
      </w:r>
    </w:p>
    <w:p>
      <w:pPr>
        <w:pStyle w:val="ListBullet"/>
      </w:pPr>
      <w:r>
        <w:rPr>
          <w:sz w:val="22"/>
        </w:rPr>
        <w:t>Your checklist forms, filled: Company Profile, Use of Proceeds, and Business Debt Schedule (seller note on it, per Mary's note).</w:t>
      </w:r>
    </w:p>
    <w:p>
      <w:pPr>
        <w:pStyle w:val="ListBullet"/>
      </w:pPr>
      <w:r>
        <w:rPr>
          <w:sz w:val="22"/>
        </w:rPr>
        <w:t>Item by item checklist status so you can see exactly what's in hand and what's still coming.</w:t>
      </w:r>
    </w:p>
    <w:p>
      <w:pPr>
        <w:pStyle w:val="ListBullet"/>
      </w:pPr>
      <w:r>
        <w:rPr>
          <w:sz w:val="22"/>
        </w:rPr>
        <w:t>Financial projections, monthly for 36 months with written assumptions, officer salaries split out.</w:t>
      </w:r>
    </w:p>
    <w:p>
      <w:pPr>
        <w:pStyle w:val="ListBullet"/>
      </w:pPr>
      <w:r>
        <w:rPr>
          <w:sz w:val="22"/>
        </w:rPr>
        <w:t>Business plan addendum covering the target change (full updated plan to follow this week).</w:t>
      </w:r>
    </w:p>
    <w:p>
      <w:pPr>
        <w:pStyle w:val="ListBullet"/>
      </w:pPr>
      <w:r>
        <w:rPr>
          <w:sz w:val="22"/>
        </w:rPr>
        <w:t>The executed lease and the purchase agreement.</w:t>
      </w:r>
    </w:p>
    <w:p>
      <w:r>
        <w:rPr>
          <w:b w:val="0"/>
          <w:sz w:val="22"/>
        </w:rPr>
        <w:t>Mary, on your priority list: my 2022, 2023 and 2024 personal returns are ready to send (2025 is with the preparer). Personal financial statement, cash flow and resume are in progress this week, and I'll pull the credit report on Credit Karma like you suggested.</w:t>
      </w:r>
    </w:p>
    <w:p>
      <w:r>
        <w:rPr>
          <w:b w:val="0"/>
          <w:sz w:val="22"/>
        </w:rPr>
        <w:t>John, is your lender's acquisition promotion still live, and would this profile qualify for an exception under the $1.5M threshold? Happy to jump on a call this week.</w:t>
      </w:r>
    </w:p>
    <w:p>
      <w:r>
        <w:rPr>
          <w:b w:val="0"/>
          <w:sz w:val="22"/>
        </w:rPr>
        <w:t>Thanks for sticking with me through the pivot. The file is stronger for it.</w:t>
      </w:r>
    </w:p>
    <w:p>
      <w:r>
        <w:rPr>
          <w:b w:val="0"/>
          <w:sz w:val="22"/>
        </w:rPr>
        <w:t>Geoff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