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Executed Office Lease - Summary &amp; Flags</w:t>
      </w:r>
    </w:p>
    <w:p>
      <w:r>
        <w:rPr>
          <w:b/>
          <w:sz w:val="22"/>
        </w:rPr>
        <w:t>Gary House / fully executed 6/29/2026 (DocuSign) | reviewed 7/16/2026</w:t>
      </w:r>
    </w:p>
    <w:p>
      <w:pPr>
        <w:pStyle w:val="Heading1"/>
      </w:pPr>
      <w:r>
        <w:rPr>
          <w:color w:val="1F3B2D"/>
        </w:rPr>
        <w:t>Key terms</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Premises</w:t>
            </w:r>
          </w:p>
        </w:tc>
        <w:tc>
          <w:tcPr>
            <w:tcW w:type="dxa" w:w="4320"/>
          </w:tcPr>
          <w:p>
            <w:r>
              <w:rPr>
                <w:sz w:val="18"/>
              </w:rPr>
              <w:t>13387 Hwy 69 N, Tyler, TX 75706 (Smith County) - the historic 'Gary House', ~1,607 sq ft, single-tenant, City of Tyler ETJ</w:t>
            </w:r>
          </w:p>
        </w:tc>
      </w:tr>
      <w:tr>
        <w:tc>
          <w:tcPr>
            <w:tcW w:type="dxa" w:w="4320"/>
          </w:tcPr>
          <w:p>
            <w:r>
              <w:rPr>
                <w:b/>
                <w:sz w:val="18"/>
              </w:rPr>
              <w:t>Landlord</w:t>
            </w:r>
          </w:p>
        </w:tc>
        <w:tc>
          <w:tcPr>
            <w:tcW w:type="dxa" w:w="4320"/>
          </w:tcPr>
          <w:p>
            <w:r>
              <w:rPr>
                <w:sz w:val="18"/>
              </w:rPr>
              <w:t>Fair Investments, Ltd., by Fair Management, LC (John R. Garrett, President). Notices: PO Box 689, Tyler TX 75710; cassie.hollenshead@fairoil.com</w:t>
            </w:r>
          </w:p>
        </w:tc>
      </w:tr>
      <w:tr>
        <w:tc>
          <w:tcPr>
            <w:tcW w:type="dxa" w:w="4320"/>
          </w:tcPr>
          <w:p>
            <w:r>
              <w:rPr>
                <w:b/>
                <w:sz w:val="18"/>
              </w:rPr>
              <w:t>Tenant</w:t>
            </w:r>
          </w:p>
        </w:tc>
        <w:tc>
          <w:tcPr>
            <w:tcW w:type="dxa" w:w="4320"/>
          </w:tcPr>
          <w:p>
            <w:r>
              <w:rPr>
                <w:sz w:val="18"/>
              </w:rPr>
              <w:t>Hickory Hospice, LLC d/b/a Azalea Hospice &amp; Palliative Care - signed by Geoff Schackmann, Managing Member, 6/26/2026</w:t>
            </w:r>
          </w:p>
        </w:tc>
      </w:tr>
      <w:tr>
        <w:tc>
          <w:tcPr>
            <w:tcW w:type="dxa" w:w="4320"/>
          </w:tcPr>
          <w:p>
            <w:r>
              <w:rPr>
                <w:b/>
                <w:sz w:val="18"/>
              </w:rPr>
              <w:t>Term</w:t>
            </w:r>
          </w:p>
        </w:tc>
        <w:tc>
          <w:tcPr>
            <w:tcW w:type="dxa" w:w="4320"/>
          </w:tcPr>
          <w:p>
            <w:r>
              <w:rPr>
                <w:sz w:val="18"/>
              </w:rPr>
              <w:t>24 months: 7/1/2026 - 6/30/2028</w:t>
            </w:r>
          </w:p>
        </w:tc>
      </w:tr>
      <w:tr>
        <w:tc>
          <w:tcPr>
            <w:tcW w:type="dxa" w:w="4320"/>
          </w:tcPr>
          <w:p>
            <w:r>
              <w:rPr>
                <w:b/>
                <w:sz w:val="18"/>
              </w:rPr>
              <w:t>Options</w:t>
            </w:r>
          </w:p>
        </w:tc>
        <w:tc>
          <w:tcPr>
            <w:tcW w:type="dxa" w:w="4320"/>
          </w:tcPr>
          <w:p>
            <w:r>
              <w:rPr>
                <w:sz w:val="18"/>
              </w:rPr>
              <w:t>2 additional 12-month terms (tenant option, 120-day notice, CPI-adjusted rent) - total potential term 4 years</w:t>
            </w:r>
          </w:p>
        </w:tc>
      </w:tr>
      <w:tr>
        <w:tc>
          <w:tcPr>
            <w:tcW w:type="dxa" w:w="4320"/>
          </w:tcPr>
          <w:p>
            <w:r>
              <w:rPr>
                <w:b/>
                <w:sz w:val="18"/>
              </w:rPr>
              <w:t>Base rent</w:t>
            </w:r>
          </w:p>
        </w:tc>
        <w:tc>
          <w:tcPr>
            <w:tcW w:type="dxa" w:w="4320"/>
          </w:tcPr>
          <w:p>
            <w:r>
              <w:rPr>
                <w:sz w:val="18"/>
              </w:rPr>
              <w:t>$1,607.00/mo year 1 ($12.00/rsf/yr); $1,647.18/mo year 2 ($12.30/rsf/yr)</w:t>
            </w:r>
          </w:p>
        </w:tc>
      </w:tr>
      <w:tr>
        <w:tc>
          <w:tcPr>
            <w:tcW w:type="dxa" w:w="4320"/>
          </w:tcPr>
          <w:p>
            <w:r>
              <w:rPr>
                <w:b/>
                <w:sz w:val="18"/>
              </w:rPr>
              <w:t>Additional rent</w:t>
            </w:r>
          </w:p>
        </w:tc>
        <w:tc>
          <w:tcPr>
            <w:tcW w:type="dxa" w:w="4320"/>
          </w:tcPr>
          <w:p>
            <w:r>
              <w:rPr>
                <w:sz w:val="18"/>
              </w:rPr>
              <w:t>Net CAM reimbursement, 100% pro-rata share, projected $4.00/rsf/yr (~$535.67/mo). Landlord pays taxes, insurance, structural/roof</w:t>
            </w:r>
          </w:p>
        </w:tc>
      </w:tr>
      <w:tr>
        <w:tc>
          <w:tcPr>
            <w:tcW w:type="dxa" w:w="4320"/>
          </w:tcPr>
          <w:p>
            <w:r>
              <w:rPr>
                <w:b/>
                <w:sz w:val="18"/>
              </w:rPr>
              <w:t>All-in occupancy</w:t>
            </w:r>
          </w:p>
        </w:tc>
        <w:tc>
          <w:tcPr>
            <w:tcW w:type="dxa" w:w="4320"/>
          </w:tcPr>
          <w:p>
            <w:r>
              <w:rPr>
                <w:sz w:val="18"/>
              </w:rPr>
              <w:t>~$2,143/mo year 1 (base + projected CAM) - matches the working-capital detail rent line</w:t>
            </w:r>
          </w:p>
        </w:tc>
      </w:tr>
      <w:tr>
        <w:tc>
          <w:tcPr>
            <w:tcW w:type="dxa" w:w="4320"/>
          </w:tcPr>
          <w:p>
            <w:r>
              <w:rPr>
                <w:b/>
                <w:sz w:val="18"/>
              </w:rPr>
              <w:t>Security deposit</w:t>
            </w:r>
          </w:p>
        </w:tc>
        <w:tc>
          <w:tcPr>
            <w:tcW w:type="dxa" w:w="4320"/>
          </w:tcPr>
          <w:p>
            <w:r>
              <w:rPr>
                <w:sz w:val="18"/>
              </w:rPr>
              <w:t>$2,142.67 (paid at execution)</w:t>
            </w:r>
          </w:p>
        </w:tc>
      </w:tr>
      <w:tr>
        <w:tc>
          <w:tcPr>
            <w:tcW w:type="dxa" w:w="4320"/>
          </w:tcPr>
          <w:p>
            <w:r>
              <w:rPr>
                <w:b/>
                <w:sz w:val="18"/>
              </w:rPr>
              <w:t>Utilities</w:t>
            </w:r>
          </w:p>
        </w:tc>
        <w:tc>
          <w:tcPr>
            <w:tcW w:type="dxa" w:w="4320"/>
          </w:tcPr>
          <w:p>
            <w:r>
              <w:rPr>
                <w:sz w:val="18"/>
              </w:rPr>
              <w:t>Landlord: water, sewer, electric, gas, alarm. Tenant: phone, internet, cable, trash</w:t>
            </w:r>
          </w:p>
        </w:tc>
      </w:tr>
      <w:tr>
        <w:tc>
          <w:tcPr>
            <w:tcW w:type="dxa" w:w="4320"/>
          </w:tcPr>
          <w:p>
            <w:r>
              <w:rPr>
                <w:b/>
                <w:sz w:val="18"/>
              </w:rPr>
              <w:t>Early termination</w:t>
            </w:r>
          </w:p>
        </w:tc>
        <w:tc>
          <w:tcPr>
            <w:tcW w:type="dxa" w:w="4320"/>
          </w:tcPr>
          <w:p>
            <w:r>
              <w:rPr>
                <w:sz w:val="18"/>
              </w:rPr>
              <w:t>Tenant may terminate on 6 months notice + fee of 50% of remaining base rent (capped at $50,000)</w:t>
            </w:r>
          </w:p>
        </w:tc>
      </w:tr>
      <w:tr>
        <w:tc>
          <w:tcPr>
            <w:tcW w:type="dxa" w:w="4320"/>
          </w:tcPr>
          <w:p>
            <w:r>
              <w:rPr>
                <w:b/>
                <w:sz w:val="18"/>
              </w:rPr>
              <w:t>Guaranty</w:t>
            </w:r>
          </w:p>
        </w:tc>
        <w:tc>
          <w:tcPr>
            <w:tcW w:type="dxa" w:w="4320"/>
          </w:tcPr>
          <w:p>
            <w:r>
              <w:rPr>
                <w:sz w:val="18"/>
              </w:rPr>
              <w:t>Commercial Lease Guaranty addendum (TXR-2109) attached - confirm guarantor identity</w:t>
            </w:r>
          </w:p>
        </w:tc>
      </w:tr>
      <w:tr>
        <w:tc>
          <w:tcPr>
            <w:tcW w:type="dxa" w:w="4320"/>
          </w:tcPr>
          <w:p>
            <w:r>
              <w:rPr>
                <w:b/>
                <w:sz w:val="18"/>
              </w:rPr>
              <w:t>Special conditions</w:t>
            </w:r>
          </w:p>
        </w:tc>
        <w:tc>
          <w:tcPr>
            <w:tcW w:type="dxa" w:w="4320"/>
          </w:tcPr>
          <w:p>
            <w:r>
              <w:rPr>
                <w:sz w:val="18"/>
              </w:rPr>
              <w:t>Historic-structure restrictions (no structural/aesthetic changes; historic designation default trigger); signage on existing pole only, landlord approval required</w:t>
            </w:r>
          </w:p>
        </w:tc>
      </w:tr>
    </w:tbl>
    <w:p>
      <w:pPr>
        <w:pStyle w:val="Heading1"/>
      </w:pPr>
      <w:r>
        <w:rPr>
          <w:color w:val="1F3B2D"/>
        </w:rPr>
        <w:t>Flags for the SBA file (and for counsel)</w:t>
      </w:r>
    </w:p>
    <w:p>
      <w:r>
        <w:rPr>
          <w:b w:val="0"/>
          <w:sz w:val="20"/>
        </w:rPr>
        <w:t>1. TENANT ENTITY: the tenant is Hickory Hospice, LLC, the operating entity from the terminated Hickory deal. The operating company under the current structure is Refuge Hospice, LLC (under Tyler Hospice Hold, LLC). Assign or amend the lease to the correct entity before SBA closing. Also resolve whether Hickory Hospice, LLC (Geoff signing as Managing Member) is a Geoff-controlled entity today - if so it is an AFFILIATE that must be disclosed on the application (the Company Profile currently answers 'none'), even if dormant. Consistency here matters on a federal application.</w:t>
      </w:r>
    </w:p>
    <w:p>
      <w:r>
        <w:rPr>
          <w:b w:val="0"/>
          <w:sz w:val="20"/>
        </w:rPr>
        <w:t>2. TERM vs LOAN TERM: 24 months + two 12-month options = 4 years maximum. The lender checklist wants the lease (with options) to run the term of the loan (10 years). Expect the lender to ask for additional renewal options or a landlord letter; the early-termination right cuts both ways and may actually help negotiate this.</w:t>
      </w:r>
    </w:p>
    <w:p>
      <w:r>
        <w:rPr>
          <w:b w:val="0"/>
          <w:sz w:val="20"/>
        </w:rPr>
        <w:t>3. LANDLORD AGREEMENT: John's checklist notes SBA will want a lease assignment or landlord's subordination/agreement. Landlord contact is Fair Investments (Bob Garrett) - the relationship is warm.</w:t>
      </w:r>
    </w:p>
    <w:p>
      <w:r>
        <w:rPr>
          <w:b w:val="0"/>
          <w:sz w:val="20"/>
        </w:rPr>
        <w:t>4. HISTORIC-PROPERTY DEFAULT TRIGGER: any action costing the property its Texas Historic Designation is a lease default. Operationally fine for an office, but flag to insurance and staff.</w:t>
      </w:r>
    </w:p>
    <w:p>
      <w:r>
        <w:rPr>
          <w:b w:val="0"/>
          <w:sz w:val="20"/>
        </w:rPr>
        <w:t>5. RENT MATCHES THE MODEL: ~$2,143/mo all-in is consistent with the rent line in the Rev 3.00 proforma and the working-capital draw schedule - no reconciliation needed.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