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Draft reply - John Hart follow-up questions (7/20)</w:t>
      </w:r>
    </w:p>
    <w:p>
      <w:r>
        <w:rPr>
          <w:b/>
          <w:sz w:val="22"/>
        </w:rPr>
        <w:t>To: John Hart; Mary Brownmiller | From: geoff@azaleahospice.com | Re: Azalea Hospice SBA Funding Request</w:t>
      </w:r>
    </w:p>
    <w:p>
      <w:r>
        <w:rPr>
          <w:b w:val="0"/>
          <w:sz w:val="22"/>
        </w:rPr>
        <w:t>John,</w:t>
      </w:r>
    </w:p>
    <w:p>
      <w:r>
        <w:rPr>
          <w:b w:val="0"/>
          <w:sz w:val="22"/>
        </w:rPr>
        <w:t>Thanks for the quick turnaround, and for shopping this to your other lenders too - the more shots on goal the better. Makes sense that we're under the $1M promotional threshold; I appreciate you working your lender for the best terms anyway.</w:t>
      </w:r>
    </w:p>
    <w:p>
      <w:r>
        <w:rPr>
          <w:b w:val="0"/>
          <w:sz w:val="22"/>
        </w:rPr>
        <w:t>On your first question, I want to be straight with you rather than let you find this out later: Refuge Hospice, LLC has been CMS certified since 1/8/2024, so it technically has three years of entity financials, but it's been run as a license-only operation, not an active clinical program. The tax returns and financials will show close to zero - there's no meaningful patient revenue to point to for repayment history. So while the CMS side of this is a change of ownership (the 49/51 transfer under the 36-month rule), from a repayment-ability standpoint I think it has to be underwritten like a startup: the case rests on our projections and the team's own prior track record in this market, not on Refuge's historical numbers. Our equity injection is $250,000 on a $750,000 project, 33 percent, well above the startup threshold, so that side of it is covered. Let me know how you and your lenders want to treat it once you've seen the financials - happy to adjust the file either way.</w:t>
      </w:r>
    </w:p>
    <w:p>
      <w:r>
        <w:rPr>
          <w:b w:val="0"/>
          <w:sz w:val="22"/>
        </w:rPr>
        <w:t>On the second question: yes, we'll get you what exists - three years of returns and financials for Refuge - but I want to set expectations now that they won't show much, for the reason above. I also understand a third party valuation will be required on an acquisition like this - I'll hold off ordering one until we know which lender is running with it, since I know each bank has its own approved list.</w:t>
      </w:r>
    </w:p>
    <w:p>
      <w:r>
        <w:rPr>
          <w:b w:val="0"/>
          <w:sz w:val="22"/>
        </w:rPr>
        <w:t>On the lease, I don't know yet whether the landlord will go to a full ten years including options - current lease is 24 months plus two 12-month options, so we're short. Good to hear the renewal doesn't need a stipulated rate and can sit at the landlord's discretion; that gives me a much easier ask. I'll reach out to Fair Investments this week and come back to you with where that stands.</w:t>
      </w:r>
    </w:p>
    <w:p>
      <w:r>
        <w:rPr>
          <w:b w:val="0"/>
          <w:sz w:val="22"/>
        </w:rPr>
        <w:t>Let me know what you find in the business plan this afternoon, and happy to jump on a call whenever works for you and Mary.</w:t>
      </w:r>
    </w:p>
    <w:p>
      <w:r>
        <w:rPr>
          <w:b w:val="0"/>
          <w:sz w:val="22"/>
        </w:rPr>
        <w:t>Thanks,</w:t>
      </w:r>
    </w:p>
    <w:p>
      <w:r>
        <w:rPr>
          <w:b w:val="0"/>
          <w:sz w:val="22"/>
        </w:rPr>
        <w:t>Geoff</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Azalea Hospice - Reply to SourceFunding Follow-up | Confidential | </w:t>
    </w:r>
    <w:r>
      <w:rPr>
        <w:sz w:val="16"/>
      </w:rPr>
      <w:t xml:space="preserve">Page </w:t>
    </w:r>
    <w:r>
      <w:rPr>
        <w:sz w:val="16"/>
      </w:rPr>
      <w:fldChar w:fldCharType="begin"/>
      <w:instrText xml:space="preserve">PAGE</w:instrText>
      <w:fldChar w:fldCharType="end"/>
    </w:r>
    <w:r>
      <w:rPr>
        <w:sz w:val="16"/>
      </w:rPr>
      <w:t xml:space="preserve"> of </w:t>
    </w:r>
    <w:r>
      <w:rPr>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rPr>
  </w:style>
  <w:style w:type="paragraph" w:styleId="BodyText">
    <w:name w:val="Body Text"/>
    <w:basedOn w:val="Normal"/>
    <w:link w:val="BodyTextChar"/>
    <w:uiPriority w:val="99"/>
    <w:unhideWhenUsed/>
    <w:rsid w:val="00AA1D8D"/>
    <w:pPr>
      <w:spacing w:after="120"/>
    </w:pPr>
    <w:rPr>
      <w:rFonts w:ascii="Aptos" w:hAnsi="Apto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