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__________ (to provide)  (principal office, Tyler, TX area)</w:t>
      </w:r>
    </w:p>
    <w:p>
      <w:r>
        <w:rPr>
          <w:b/>
        </w:rPr>
        <w:t xml:space="preserve">City / County / State / Zip:  </w:t>
      </w:r>
      <w:r>
        <w:t>Tyler / Smith / TX / __________ (to provide)</w:t>
      </w:r>
    </w:p>
    <w:p>
      <w:r>
        <w:rPr>
          <w:b/>
        </w:rPr>
        <w:t xml:space="preserve">Contact / Phone / Fax:  </w:t>
      </w:r>
      <w:r>
        <w:t>__________ (to provide)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Bullard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19.9%*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19.9%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$250,000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subject to a 4-year vesting schedule with a 1-year cliff, recorded in the Operating Agreement. Unvested interests are subject to repurchase by the Company at $0 upon departure prior to the cliff.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0.3%.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