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Memo: Business Plan vs. Operating Model - Financial Reconciliation</w:t>
      </w:r>
    </w:p>
    <w:p>
      <w:r>
        <w:rPr>
          <w:b w:val="0"/>
          <w:i w:val="0"/>
          <w:color w:val="606060"/>
          <w:sz w:val="18"/>
        </w:rPr>
        <w:t>Internal note - resolve before submitting to lender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Issue: Business Plan Rev 4.00 (June 2, 2026) was generated from an earlier version of the operating model. Net revenue and census match the current model, but the cost base - and therefore EBITDA, net income, and DSCR - differ, because the current model carries a fuller, more defensible direct-care staffing build (PRN social work / LVN / chaplain converted to full-time, six RNs and six CNAs by Year 3, plus Quality/Compliance, Intake, and Volunteer Coordinator) and outsourced billing at 1.5% of revenue. The plan and the workbook must show the same figures before they go to the lender.</w:t>
      </w:r>
    </w:p>
    <w:p>
      <w:r>
        <w:rPr>
          <w:b/>
          <w:color w:val="1F3864"/>
          <w:sz w:val="23"/>
        </w:rPr>
        <w:t>Side-by-side (annual)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</w:tcPr>
          <w:p>
            <w:r/>
            <w:r>
              <w:rPr>
                <w:b/>
                <w:sz w:val="19"/>
              </w:rPr>
              <w:t>Metric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9"/>
              </w:rPr>
              <w:t>Plan Rev 4.00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9"/>
              </w:rPr>
              <w:t>Current model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Note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Net revenue Y1 / Y2 / Y3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$1.44M / $2.72M / $3.73M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$1.44M / $2.73M / $3.73M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Match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EBITDA Y1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$311,204 (21.6%)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$302,522 (21.0%)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Close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EBITDA Y2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$814,391 (29.9%)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$679,524 (24.9%)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Lower - richer staffing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EBITDA Y3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$1,185,619 (31.8%)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$1,007,520 (27.0%)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Lower - richer staffing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Net income Y1 / Y2 / Y3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$199K / $706K / $1,084K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$190K / $571K / $905K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Lower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Combined DSCR Y1 / Y2 / Y3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1.61x / 4.20x / 6.12x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1.56x / 3.50x / 5.20x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Lower, still strong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Global 3-yr DSCR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3.97x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3.42x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Both well above 1.25x</w:t>
            </w:r>
          </w:p>
        </w:tc>
      </w:tr>
    </w:tbl>
    <w:p>
      <w:r>
        <w:rPr>
          <w:b/>
          <w:color w:val="1F3864"/>
          <w:sz w:val="23"/>
        </w:rPr>
        <w:t>Recommendation</w:t>
      </w:r>
    </w:p>
    <w:p>
      <w:r>
        <w:rPr>
          <w:b w:val="0"/>
          <w:i w:val="0"/>
          <w:sz w:val="21"/>
        </w:rPr>
        <w:t>Update the Business Plan financials (Sections 11.4 and 11.6, plus the Executive Summary repayment tiles) to the current model. The current model is the version that is fully reconciled, error-free, and reflects realistic staffing for a 50+ ADC agency - the more defensible position with an SBA underwriter. The story holds: every year is profitable, EBITDA still grows from $303K to $1.0M, and combined DSCR clears 1.25x in every year (1.56x / 3.50x / 5.20x; global 3.42x), springing higher once the seller note retires after Year 3. The alternative (reverting the model to the leaner roster) would raise margins but invites the question of how a 54-ADC agency runs on so few clinical staff.</w:t>
      </w:r>
    </w:p>
    <w:p>
      <w:r>
        <w:rPr>
          <w:b/>
          <w:color w:val="1F3864"/>
          <w:sz w:val="23"/>
        </w:rPr>
        <w:t>Corrected three-year P&amp;L (drop-in for Section 11.4)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744"/>
          </w:tcPr>
          <w:p>
            <w:r/>
            <w:r>
              <w:rPr>
                <w:b/>
                <w:sz w:val="19"/>
              </w:rPr>
              <w:t>Line item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1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2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3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Average daily census (ADC)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21.8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40.2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53.8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Net patient revenue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$1,442,930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$2,728,642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$3,734,934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Patient-related COGS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$71,549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$132,002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$176,276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Payroll &amp; related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$868,172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$1,686,864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$2,297,748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Operating G&amp;A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$200,687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$230,251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$253,390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EBITDA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$302,522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$679,524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$1,007,520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EBITDA margin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21.0%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24.9%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27.0%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Depreciation &amp; amortization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$35,600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$35,600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$35,600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Interest (SBA + seller note)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$71,479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$62,558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$52,623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TX franchise tax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$5,411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$10,232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$14,006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Net income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$190,032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$571,134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$905,290</w:t>
            </w:r>
          </w:p>
        </w:tc>
      </w:tr>
    </w:tbl>
    <w:p>
      <w:r>
        <w:rPr>
          <w:b/>
          <w:color w:val="1F3864"/>
          <w:sz w:val="23"/>
        </w:rPr>
        <w:t>Corrected lender summary (drop-in for Section 11.6)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744"/>
          </w:tcPr>
          <w:p>
            <w:r/>
            <w:r>
              <w:rPr>
                <w:b/>
                <w:sz w:val="19"/>
              </w:rPr>
              <w:t>Metric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1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2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3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EBITDA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$302,522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$679,524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$1,007,520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Combined debt service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$193,876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$193,876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$193,876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Combined DSCR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1.56x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3.50x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5.20x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Net income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$190,032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$571,134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$905,290</w:t>
            </w:r>
          </w:p>
        </w:tc>
      </w:tr>
    </w:tbl>
    <w:p>
      <w:r>
        <w:rPr>
          <w:b/>
          <w:i w:val="0"/>
          <w:sz w:val="21"/>
        </w:rPr>
        <w:t>Global 3-year combined DSCR: 3.42x (vs. 1.25x floor). SBA-only coverage springs far higher once the seller note retires at the end of Year 3.</w:t>
      </w:r>
    </w:p>
    <w:p>
      <w:r>
        <w:rPr>
          <w:b/>
          <w:color w:val="1F3864"/>
          <w:sz w:val="23"/>
        </w:rPr>
        <w:t>Break-even (answers Business Plan Guide VIII.3 - currently missing)</w:t>
      </w:r>
    </w:p>
    <w:p>
      <w:r>
        <w:rPr>
          <w:b w:val="0"/>
          <w:i w:val="0"/>
          <w:sz w:val="21"/>
        </w:rPr>
        <w:t>Contribution margin is $160.52 per patient-day (net rate $181.30 less $20.78 of variable cost per patient-day: supplies/DME/pharmacy plus PRN visit labor plus the 1.5% billing and 0.75% QR fees). Against the Year-1 fixed-cost base (the lean opening roster plus fixed G&amp;A), the operation breaks even at approximately 16 ADC, or about $86,000 per month of net revenue. The validated opening census of ~22 ADC is already above break-even, and Year-1 covers combined debt service at 1.56x.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