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each owner of 20% or more (Geoff Schackmann via Adeline &amp; Lilah, LLC at 39.9%)</w:t>
      </w:r>
    </w:p>
    <w:p>
      <w:r>
        <w:rPr>
          <w:b w:val="0"/>
          <w:i/>
          <w:sz w:val="18"/>
        </w:rPr>
        <w:t>Note: only owners of 20% or more need the personal items below. James Bullard holds 19.9% as a passive minority investor and is below the 20% threshold, so no personal guaranty, PFS, or Form 912 is required of him. The lender will still verify the source of his $250,000 injection via his bank / brokerage statements (item below), which is standard for any equity-injection source.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Tranches 2 ($TBD, June 2026) and 3 ($TBD, July 2026) are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confirmations for the June and July tranches as they land</w:t>
      </w:r>
    </w:p>
    <w:p>
      <w:r>
        <w:rPr>
          <w:b w:val="0"/>
          <w:i w:val="0"/>
          <w:sz w:val="21"/>
        </w:rPr>
        <w:t xml:space="preserve">  - Final Mercury statement (or trailing-day balance) showing the full $250,000 has been received once Tranche 3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 flag for John Hart: SBA disbursement should occur after the July tranche lands, OR a disbursement holdback should cover the un-funded balance at closing, OR tranches 2 and 3 should be accelerated. The injection is sound; only the schedule needs coordination.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Executed Hickory seller note ($300,000, 36 months, 6%) and security documentation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