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Affiliate and Size-Standard Memorandum</w:t>
      </w:r>
    </w:p>
    <w:p>
      <w:r>
        <w:rPr>
          <w:b w:val="0"/>
          <w:i w:val="0"/>
          <w:color w:val="606060"/>
          <w:sz w:val="18"/>
        </w:rPr>
        <w:t>SBA 7(a) Application - Tyler Hospice Hold, LLC (dba Azalea Hospice &amp; Palliative Care)</w:t>
      </w:r>
    </w:p>
    <w:p>
      <w:r>
        <w:rPr>
          <w:b w:val="0"/>
          <w:i w:val="0"/>
          <w:sz w:val="21"/>
        </w:rPr>
        <w:t>This memorandum identifies the borrower's affiliates for SBA size-standard and eligibility purposes (13 CFR 121.103) and documents why the borrower meets the applicable size standard.</w:t>
      </w:r>
    </w:p>
    <w:p>
      <w:r>
        <w:rPr>
          <w:b/>
          <w:color w:val="1F3864"/>
          <w:sz w:val="23"/>
        </w:rPr>
        <w:t>Applicable size standard</w:t>
      </w:r>
    </w:p>
    <w:p>
      <w:r>
        <w:rPr>
          <w:b w:val="0"/>
          <w:i w:val="0"/>
          <w:sz w:val="21"/>
        </w:rPr>
        <w:t>The borrower operates in NAICS 621610 (Home Health Care Services) / hospice, for which the SBA receipts-based size standard is $19.0 million in average annual receipts (confirm current threshold at application). As a newly formed entity acquiring a single small hospice agency, the borrower and its affiliates are comfortably within the standard.</w:t>
      </w:r>
    </w:p>
    <w:p>
      <w:r>
        <w:rPr>
          <w:b/>
          <w:color w:val="1F3864"/>
          <w:sz w:val="23"/>
        </w:rPr>
        <w:t>Ownership and control analysis</w:t>
      </w:r>
    </w:p>
    <w:p>
      <w:r>
        <w:rPr>
          <w:b w:val="0"/>
          <w:i w:val="0"/>
          <w:sz w:val="21"/>
        </w:rPr>
        <w:t>Under 13 CFR 121.103, affiliation arises principally through control - common ownership of more than 50%, common management, or identity of interest. The borrower's controlling party is Geoff Schackmann, through Adeline &amp; Lilah, LLC (39.9%) and as Manager. Affiliation is therefore assessed primarily through Mr. Schackmann's other controlled entities.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736"/>
          </w:tcPr>
          <w:p>
            <w:r/>
            <w:r>
              <w:rPr>
                <w:b/>
                <w:sz w:val="19"/>
              </w:rPr>
              <w:t>Entity</w:t>
            </w:r>
          </w:p>
        </w:tc>
        <w:tc>
          <w:tcPr>
            <w:tcW w:type="dxa" w:w="3168"/>
          </w:tcPr>
          <w:p>
            <w:r/>
            <w:r>
              <w:rPr>
                <w:b/>
                <w:sz w:val="19"/>
              </w:rPr>
              <w:t>Relationship to borrower</w:t>
            </w:r>
          </w:p>
        </w:tc>
        <w:tc>
          <w:tcPr>
            <w:tcW w:type="dxa" w:w="2880"/>
          </w:tcPr>
          <w:p>
            <w:r/>
            <w:r>
              <w:rPr>
                <w:b/>
                <w:sz w:val="19"/>
              </w:rPr>
              <w:t>Geoff's interest / role</w:t>
            </w:r>
          </w:p>
        </w:tc>
        <w:tc>
          <w:tcPr>
            <w:tcW w:type="dxa" w:w="1728"/>
          </w:tcPr>
          <w:p>
            <w:r/>
            <w:r>
              <w:rPr>
                <w:b/>
                <w:sz w:val="19"/>
              </w:rPr>
              <w:t>Affiliate?</w:t>
            </w:r>
          </w:p>
        </w:tc>
      </w:tr>
      <w:tr>
        <w:tc>
          <w:tcPr>
            <w:tcW w:type="dxa" w:w="2736"/>
          </w:tcPr>
          <w:p>
            <w:r/>
            <w:r>
              <w:rPr>
                <w:sz w:val="19"/>
              </w:rPr>
              <w:t>Hickory Hospice LLC (TX)</w:t>
            </w:r>
          </w:p>
        </w:tc>
        <w:tc>
          <w:tcPr>
            <w:tcW w:type="dxa" w:w="3168"/>
          </w:tcPr>
          <w:p>
            <w:r/>
            <w:r>
              <w:rPr>
                <w:sz w:val="19"/>
              </w:rPr>
              <w:t>Acquisition target / future wholly owned operating subsidiary</w:t>
            </w:r>
          </w:p>
        </w:tc>
        <w:tc>
          <w:tcPr>
            <w:tcW w:type="dxa" w:w="2880"/>
          </w:tcPr>
          <w:p>
            <w:r/>
            <w:r>
              <w:rPr>
                <w:sz w:val="19"/>
              </w:rPr>
              <w:t>100% after CHOW close</w:t>
            </w:r>
          </w:p>
        </w:tc>
        <w:tc>
          <w:tcPr>
            <w:tcW w:type="dxa" w:w="1728"/>
          </w:tcPr>
          <w:p>
            <w:r/>
            <w:r>
              <w:rPr>
                <w:sz w:val="19"/>
              </w:rPr>
              <w:t>Yes - consolidated as subsidiary</w:t>
            </w:r>
          </w:p>
        </w:tc>
      </w:tr>
      <w:tr>
        <w:tc>
          <w:tcPr>
            <w:tcW w:type="dxa" w:w="2736"/>
          </w:tcPr>
          <w:p>
            <w:r/>
            <w:r>
              <w:rPr>
                <w:sz w:val="19"/>
              </w:rPr>
              <w:t>Adeline &amp; Lilah, LLC (AZ)</w:t>
            </w:r>
          </w:p>
        </w:tc>
        <w:tc>
          <w:tcPr>
            <w:tcW w:type="dxa" w:w="3168"/>
          </w:tcPr>
          <w:p>
            <w:r/>
            <w:r>
              <w:rPr>
                <w:sz w:val="19"/>
              </w:rPr>
              <w:t>Holding entity for Geoff's interest in the borrower</w:t>
            </w:r>
          </w:p>
        </w:tc>
        <w:tc>
          <w:tcPr>
            <w:tcW w:type="dxa" w:w="2880"/>
          </w:tcPr>
          <w:p>
            <w:r/>
            <w:r>
              <w:rPr>
                <w:sz w:val="19"/>
              </w:rPr>
              <w:t>50% member + Manager</w:t>
            </w:r>
          </w:p>
        </w:tc>
        <w:tc>
          <w:tcPr>
            <w:tcW w:type="dxa" w:w="1728"/>
          </w:tcPr>
          <w:p>
            <w:r/>
            <w:r>
              <w:rPr>
                <w:sz w:val="19"/>
              </w:rPr>
              <w:t>Yes - upstream holder; no operations</w:t>
            </w:r>
          </w:p>
        </w:tc>
      </w:tr>
      <w:tr>
        <w:tc>
          <w:tcPr>
            <w:tcW w:type="dxa" w:w="2736"/>
          </w:tcPr>
          <w:p>
            <w:r/>
            <w:r>
              <w:rPr>
                <w:sz w:val="19"/>
              </w:rPr>
              <w:t>VistaRiver Inc (OR)</w:t>
            </w:r>
          </w:p>
        </w:tc>
        <w:tc>
          <w:tcPr>
            <w:tcW w:type="dxa" w:w="3168"/>
          </w:tcPr>
          <w:p>
            <w:r/>
            <w:r>
              <w:rPr>
                <w:sz w:val="19"/>
              </w:rPr>
              <w:t>Geoff sold his 33.33% in Aug 2025; holds only a seller note</w:t>
            </w:r>
          </w:p>
        </w:tc>
        <w:tc>
          <w:tcPr>
            <w:tcW w:type="dxa" w:w="2880"/>
          </w:tcPr>
          <w:p>
            <w:r/>
            <w:r>
              <w:rPr>
                <w:sz w:val="19"/>
              </w:rPr>
              <w:t>0% equity; passive note holder only; no officer/manager/employee role</w:t>
            </w:r>
          </w:p>
        </w:tc>
        <w:tc>
          <w:tcPr>
            <w:tcW w:type="dxa" w:w="1728"/>
          </w:tcPr>
          <w:p>
            <w:r/>
            <w:r>
              <w:rPr>
                <w:sz w:val="19"/>
              </w:rPr>
              <w:t>No - passive creditor, no control</w:t>
            </w:r>
          </w:p>
        </w:tc>
      </w:tr>
      <w:tr>
        <w:tc>
          <w:tcPr>
            <w:tcW w:type="dxa" w:w="2736"/>
          </w:tcPr>
          <w:p>
            <w:r/>
            <w:r>
              <w:rPr>
                <w:sz w:val="19"/>
              </w:rPr>
              <w:t>James E. Bullard's other interests</w:t>
            </w:r>
          </w:p>
        </w:tc>
        <w:tc>
          <w:tcPr>
            <w:tcW w:type="dxa" w:w="3168"/>
          </w:tcPr>
          <w:p>
            <w:r/>
            <w:r>
              <w:rPr>
                <w:sz w:val="19"/>
              </w:rPr>
              <w:t>Bullard is a 19.5% passive minority investor in the borrower</w:t>
            </w:r>
          </w:p>
        </w:tc>
        <w:tc>
          <w:tcPr>
            <w:tcW w:type="dxa" w:w="2880"/>
          </w:tcPr>
          <w:p>
            <w:r/>
            <w:r>
              <w:rPr>
                <w:sz w:val="19"/>
              </w:rPr>
              <w:t>n/a to Geoff; Bullard holds no control of borrower</w:t>
            </w:r>
          </w:p>
        </w:tc>
        <w:tc>
          <w:tcPr>
            <w:tcW w:type="dxa" w:w="1728"/>
          </w:tcPr>
          <w:p>
            <w:r/>
            <w:r>
              <w:rPr>
                <w:sz w:val="19"/>
              </w:rPr>
              <w:t>Investigate Bullard's &gt;50% entities (below)</w:t>
            </w:r>
          </w:p>
        </w:tc>
      </w:tr>
    </w:tbl>
    <w:p>
      <w:r>
        <w:rPr>
          <w:b/>
          <w:color w:val="1F3864"/>
          <w:sz w:val="23"/>
        </w:rPr>
        <w:t>VistaRiver Inc - not an affiliate</w:t>
      </w:r>
    </w:p>
    <w:p>
      <w:r>
        <w:rPr>
          <w:b w:val="0"/>
          <w:i w:val="0"/>
          <w:sz w:val="21"/>
        </w:rPr>
        <w:t>Geoff Schackmann sold his entire 33.33% membership interest in VistaRiver Inc on August 15, 2025 (Membership Interest Purchase Agreement on file in folder 10). He retains no equity, no officer, manager, director, or employee role, and no control of any kind. His only continuing relationship is as the holder of a secured promissory note (a passive creditor position). Under 13 CFR 121.103, a creditor relationship without ownership or control does not create affiliation. VistaRiver is therefore NOT an affiliate of the borrower. The note is, however, a personal asset and income source disclosed on Mr. Schackmann's Personal Financial Statement.</w:t>
      </w:r>
    </w:p>
    <w:p>
      <w:r>
        <w:rPr>
          <w:b/>
          <w:color w:val="1F3864"/>
          <w:sz w:val="23"/>
        </w:rPr>
        <w:t>Geoff Schackmann - no other controlled operating businesses</w:t>
      </w:r>
    </w:p>
    <w:p>
      <w:r>
        <w:rPr>
          <w:b w:val="0"/>
          <w:i w:val="0"/>
          <w:sz w:val="21"/>
        </w:rPr>
        <w:t>Mr. Schackmann has confirmed that, other than the entities listed above, he does not own 20% or more of, nor manage, any other operating business. The multi-hospice operating experience described in the business plan and his resume reflects prior operating roles and engagements; to the extent any such agency is currently owned or controlled by Mr. Schackmann, it should be listed here. [Confirm: list any currently owned/controlled hospice agency, with ownership %, role, and revenue, or confirm none.]</w:t>
      </w:r>
    </w:p>
    <w:p>
      <w:r>
        <w:rPr>
          <w:b w:val="0"/>
          <w:i/>
          <w:sz w:val="19"/>
        </w:rPr>
        <w:t>Action item: Mr. Schackmann to confirm in writing that he holds no current ownership of 20%+ or management role in any operating business other than those listed above, so this memo can state it affirmatively for the lender.</w:t>
      </w:r>
    </w:p>
    <w:p>
      <w:r>
        <w:rPr>
          <w:b/>
          <w:color w:val="1F3864"/>
          <w:sz w:val="23"/>
        </w:rPr>
        <w:t>James E. Bullard - minority investor; limited affiliation reach</w:t>
      </w:r>
    </w:p>
    <w:p>
      <w:r>
        <w:rPr>
          <w:b w:val="0"/>
          <w:i w:val="0"/>
          <w:sz w:val="21"/>
        </w:rPr>
        <w:t>Mr. Bullard is a 19.5% passive minority investor in the borrower with protective minority rights but no operational control (see OA Amendment No. 1 and his Investor Attestation). Because he does not control the borrower, his other business holdings generally do not pull into the borrower's affiliation group. However, SBA may review entities Bullard controls (&gt;50%) for completeness. [Confirm: list any business in which Mr. Bullard holds 50%+, or confirm none known.]</w:t>
      </w:r>
    </w:p>
    <w:p>
      <w:r>
        <w:rPr>
          <w:b/>
          <w:color w:val="1F3864"/>
          <w:sz w:val="23"/>
        </w:rPr>
        <w:t>Operator-members - employment, not affiliation</w:t>
      </w:r>
    </w:p>
    <w:p>
      <w:r>
        <w:rPr>
          <w:b w:val="0"/>
          <w:i w:val="0"/>
          <w:sz w:val="21"/>
        </w:rPr>
        <w:t>Silas R. Shelton, Dana L. Davenport, and Bradley G. Woodard hold 13.3% each (Restricted Interests; the full 13.3% forfeitable until vested - a 4.9% time-vested base plus an 8.4% dual-trigger earn-up) and serve in operating roles. None controls the borrower. Their prior or current employers are relevant to non-compete / non-solicit and transition questions (addressed separately), not to affiliation. Mr. Woodard has confirmed he has no non-compete with his current employer.</w:t>
      </w:r>
    </w:p>
    <w:p>
      <w:r>
        <w:rPr>
          <w:b/>
          <w:color w:val="1F3864"/>
          <w:sz w:val="23"/>
        </w:rPr>
        <w:t>Conclusion</w:t>
      </w:r>
    </w:p>
    <w:p>
      <w:r>
        <w:rPr>
          <w:b w:val="0"/>
          <w:i w:val="0"/>
          <w:sz w:val="21"/>
        </w:rPr>
        <w:t>After giving effect to the CHOW, the borrower's affiliate group consists of the borrower, its wholly owned subsidiary Hickory Hospice LLC, and the upstream holding entity Adeline &amp; Lilah, LLC (non-operating). Combined average annual receipts are well below the applicable size standard. VistaRiver Inc is not an affiliate (passive creditor relationship only). The borrower is a small business concern eligible for SBA 7(a) financing, subject to the lender's confirmation of the current size threshold and the two open confirmations noted above.</w:t>
      </w:r>
    </w:p>
    <w:p>
      <w:r>
        <w:rPr>
          <w:b w:val="0"/>
          <w:i w:val="0"/>
          <w:sz w:val="21"/>
        </w:rPr>
      </w:r>
    </w:p>
    <w:p>
      <w:r>
        <w:rPr>
          <w:b w:val="0"/>
          <w:i/>
          <w:color w:val="606060"/>
          <w:sz w:val="16"/>
        </w:rPr>
        <w:t>Prepared for the SBA 7(a) loan application of Tyler Hospice Hold, LLC (dba Azalea Hospice &amp; Palliative Care).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