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Hold,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Hold, LLC - WY Certificate of Formation</w:t>
      </w:r>
    </w:p>
    <w:p>
      <w:r>
        <w:rPr>
          <w:b w:val="0"/>
          <w:i w:val="0"/>
          <w:sz w:val="21"/>
        </w:rPr>
        <w:t xml:space="preserve">  - Tyler Hospice Hold, LLC - Operating Agreement (executed, current)</w:t>
      </w:r>
    </w:p>
    <w:p>
      <w:r>
        <w:rPr>
          <w:b w:val="0"/>
          <w:i w:val="0"/>
          <w:sz w:val="21"/>
        </w:rPr>
        <w:t xml:space="preserve">  - Tyler Hospice Hold, LLC - EIN assignment letter (IRS CP-575)</w:t>
      </w:r>
    </w:p>
    <w:p>
      <w:r>
        <w:rPr>
          <w:b w:val="0"/>
          <w:i w:val="0"/>
          <w:sz w:val="21"/>
        </w:rPr>
        <w:t xml:space="preserve">  - Tyler Hospice Hold,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Hold,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(MIPA) - executed; amended so the Buyer is 'Tyler Hospice Hold, LLC, a Wyoming limited liability company' (Rev. 2.00 currently names a Texas LLC)</w:t>
      </w:r>
    </w:p>
    <w:p>
      <w:r>
        <w:rPr>
          <w:b w:val="0"/>
          <w:i w:val="0"/>
          <w:sz w:val="21"/>
        </w:rPr>
        <w:t xml:space="preserve">  - Bank acquisition term-loan documents (note, security agreement) - executed</w:t>
      </w:r>
    </w:p>
    <w:p>
      <w:r>
        <w:rPr>
          <w:b w:val="0"/>
          <w:i w:val="0"/>
          <w:sz w:val="21"/>
        </w:rPr>
        <w:t xml:space="preserve">  - Intercreditor / subordination agreement subordinating the bank loan to the SBA 7(a) loan - executed; SBA-lender approval of the piggyback financing</w:t>
      </w:r>
    </w:p>
    <w:p>
      <w:r>
        <w:rPr>
          <w:b w:val="0"/>
          <w:i w:val="0"/>
          <w:sz w:val="21"/>
        </w:rPr>
        <w:t xml:space="preserve">  - James Bullard personal guaranty of the bank acquisition loan - executed</w:t>
      </w:r>
    </w:p>
    <w:p>
      <w:r>
        <w:rPr>
          <w:b w:val="0"/>
          <w:i w:val="0"/>
          <w:sz w:val="21"/>
        </w:rPr>
        <w:t xml:space="preserve">  - Wire confirmation of the $300,000 Hickory acquisition (funded by the bank acquisition loan)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Manager resignations + spousal consents per the MIPA closing deliverables</w:t>
      </w:r>
    </w:p>
    <w:p>
      <w:r>
        <w:rPr>
          <w:b w:val="0"/>
          <w:i w:val="0"/>
          <w:sz w:val="21"/>
        </w:rPr>
        <w:t xml:space="preserve">  - UCC-1 financing statement filings (SBA lender; acquisition-loan bank, subordinate)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$195,000 on deposit in Tyler Hospice Hold,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two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Guarantors (SBA 7(a) loan)</w:t>
      </w:r>
    </w:p>
    <w:p>
      <w:r>
        <w:rPr>
          <w:b w:val="0"/>
          <w:i w:val="0"/>
          <w:sz w:val="21"/>
        </w:rPr>
        <w:t xml:space="preserve">  - Personal guaranty of Geoff Schackmann (SBA Form 148 or lender form) - signed</w:t>
      </w:r>
    </w:p>
    <w:p>
      <w:r>
        <w:rPr>
          <w:b w:val="0"/>
          <w:i w:val="0"/>
          <w:sz w:val="21"/>
        </w:rPr>
        <w:t xml:space="preserve">  - Entity guaranty of Adeline &amp; Lilah, LLC (39.9% owner of the borrower) - signed</w:t>
      </w:r>
    </w:p>
    <w:p>
      <w:r>
        <w:rPr>
          <w:b w:val="0"/>
          <w:i w:val="0"/>
          <w:sz w:val="21"/>
        </w:rPr>
        <w:t xml:space="preserve">  - Corporate guaranty of Hickory Hospice LLC (operating subsidiary) + lien on its assets/receivables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/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$450K SBA loan (operating account + use-of-proceeds wires) and the $300K bank acquisition loan (Hickory purchase wire)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