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controlling owner via Adeline &amp; Lilah, LLC at 39.9%)</w:t>
      </w:r>
    </w:p>
    <w:p>
      <w:r>
        <w:rPr>
          <w:b w:val="0"/>
          <w:i/>
          <w:sz w:val="18"/>
        </w:rPr>
        <w:t>Note: Geoff controls A&amp;L's 39.9% block as its sole Manager and is the sole 20%+ owner for SBA guaranty purposes. James Bullard (19.9% direct) and Mary Elizabeth Burcham (19.95% indirect via her 50% of A&amp;L) are each under 20% with no management role, so neither needs PFS, Form 912, or tax returns. Bullard's source of funds is verified separately (Section B2); Mary Elizabeth signs a spouse acknowledgement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Tranches 2 ($TBD, June 2026) and 3 ($TBD, July 2026) are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confirmations for the June and July tranches as they land</w:t>
      </w:r>
    </w:p>
    <w:p>
      <w:r>
        <w:rPr>
          <w:b w:val="0"/>
          <w:i w:val="0"/>
          <w:sz w:val="21"/>
        </w:rPr>
        <w:t xml:space="preserve">  - Final Mercury statement (or trailing-day balance) showing the full $250,000 has been received once Tranche 3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$250,000 is on deposit at disbursement (per SOP 50 10 8). No holdback or acceleration needed.</w:t>
      </w:r>
    </w:p>
    <w:p>
      <w:r>
        <w:rPr>
          <w:b/>
          <w:color w:val="1F3864"/>
          <w:sz w:val="23"/>
        </w:rPr>
        <w:t>B3. Spouse acknowledgement (Mary Elizabeth Burcham)</w:t>
      </w:r>
    </w:p>
    <w:p>
      <w:r>
        <w:rPr>
          <w:b w:val="0"/>
          <w:i/>
          <w:sz w:val="18"/>
        </w:rPr>
        <w:t>Mary Elizabeth Burcham is Geoff's spouse and holds 50% of Adeline &amp; Lilah, LLC (giving her a 19.95% indirect interest in Tyler Hospice Hold LLC - under 20%, no management role). As the guarantor's spouse she signs a customary spouse acknowledgement / consent,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Spouse Acknowledgement /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Executed Hickory seller note ($300,000, 36 months, 6%) and security documentation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