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Submission Readiness Checklist</w:t>
      </w:r>
    </w:p>
    <w:p>
      <w:r>
        <w:rPr>
          <w:b w:val="0"/>
          <w:i w:val="0"/>
          <w:color w:val="606060"/>
          <w:sz w:val="18"/>
        </w:rPr>
        <w:t>Tyler Hospice HoldCo L.L.C. - SBA 7(a) Application to John Hart. Work this list top to bottom; the three BLOCKERS must clear before submission.</w:t>
      </w:r>
    </w:p>
    <w:p>
      <w:r>
        <w:rPr>
          <w:b/>
          <w:color w:val="1F3864"/>
          <w:sz w:val="23"/>
        </w:rPr>
        <w:t>BLOCKERS - must resolve before submitting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6192"/>
          </w:tcPr>
          <w:p>
            <w:r/>
            <w:r>
              <w:rPr>
                <w:b/>
                <w:sz w:val="19"/>
              </w:rPr>
              <w:t>Blocker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B1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Seller payment terms: MIPA is $300K in 12 x $25K interest-free installments, but the model assumes a 36-mo/6% note. On actual terms, Year-1 combined DSCR falls to ~0.79x (below 1.25x). Renegotiate to a 36-mo note OR re-run the model and address coverage.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Geoff + sellers (Greiner) + John Hart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Borrower entity mismatch: MIPA buyer is 'Tyler Hospice Hold, LLC (Texas)'; SBA/OA is 'Tyler Hospice HoldCo L.L.C. (Wyoming), EIN 41-4966640'. Make one entity/name/state consistent everywhere.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Geoff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Execute OA Amendment No. 1 (cap table 39.9/19.9/13.3x3, partnership tax, Hickory target, SBA carve-outs). Current OA still shows 60/25/4.9 + S-Corp + 'Healing Hands'.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All members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DRAFTED - needs signatures</w:t>
            </w:r>
          </w:p>
        </w:tc>
      </w:tr>
    </w:tbl>
    <w:p>
      <w:r>
        <w:rPr>
          <w:b/>
          <w:color w:val="1F3864"/>
          <w:sz w:val="23"/>
        </w:rPr>
        <w:t>Geoff's personal package (sole 20%+ guarantor)</w:t>
      </w:r>
    </w:p>
    <w:p>
      <w:r>
        <w:rPr>
          <w:b w:val="0"/>
          <w:i w:val="0"/>
          <w:sz w:val="21"/>
        </w:rPr>
        <w:t xml:space="preserve">  - SBA Form 413 (Personal Financial Statement) - include the VistaRiver note as an asset</w:t>
      </w:r>
    </w:p>
    <w:p>
      <w:r>
        <w:rPr>
          <w:b w:val="0"/>
          <w:i w:val="0"/>
          <w:sz w:val="21"/>
        </w:rPr>
        <w:t xml:space="preserve">  - SBA Form 912 (Personal History)</w:t>
      </w:r>
    </w:p>
    <w:p>
      <w:r>
        <w:rPr>
          <w:b w:val="0"/>
          <w:i w:val="0"/>
          <w:sz w:val="21"/>
        </w:rPr>
        <w:t xml:space="preserve">  - Personal Cash Flow (7a) - complete the expense lines (income pre-filled)</w:t>
      </w:r>
    </w:p>
    <w:p>
      <w:r>
        <w:rPr>
          <w:b w:val="0"/>
          <w:i w:val="0"/>
          <w:sz w:val="21"/>
        </w:rPr>
        <w:t xml:space="preserve">  - 3 years personal tax returns + W-2s/1099s</w:t>
      </w:r>
    </w:p>
    <w:p>
      <w:r>
        <w:rPr>
          <w:b w:val="0"/>
          <w:i w:val="0"/>
          <w:sz w:val="21"/>
        </w:rPr>
        <w:t xml:space="preserve">  - Credit report authorization + driver license</w:t>
      </w:r>
    </w:p>
    <w:p>
      <w:r>
        <w:rPr>
          <w:b w:val="0"/>
          <w:i w:val="0"/>
          <w:sz w:val="21"/>
        </w:rPr>
        <w:t xml:space="preserve">  - Spouse acknowledgement - Mary Elizabeth Burcham</w:t>
      </w:r>
    </w:p>
    <w:p>
      <w:r>
        <w:rPr>
          <w:b/>
          <w:color w:val="1F3864"/>
          <w:sz w:val="23"/>
        </w:rPr>
        <w:t>Equity injection (James Bullard, $250,000)</w:t>
      </w:r>
    </w:p>
    <w:p>
      <w:r>
        <w:rPr>
          <w:b w:val="0"/>
          <w:i w:val="0"/>
          <w:sz w:val="21"/>
        </w:rPr>
        <w:t xml:space="preserve">  - Mercury statement/screenshot of the $100,000 wire (5/7/2026) - drop into 10_supporting_documents/equity_injection_evidence/</w:t>
      </w:r>
    </w:p>
    <w:p>
      <w:r>
        <w:rPr>
          <w:b w:val="0"/>
          <w:i w:val="0"/>
          <w:sz w:val="21"/>
        </w:rPr>
        <w:t xml:space="preserve">  - Bullard bank/brokerage statements (30-day seasoning) for each tranche</w:t>
      </w:r>
    </w:p>
    <w:p>
      <w:r>
        <w:rPr>
          <w:b w:val="0"/>
          <w:i w:val="0"/>
          <w:sz w:val="21"/>
        </w:rPr>
        <w:t xml:space="preserve">  - June and July wires as they land; final statement showing full $250K on deposit</w:t>
      </w:r>
    </w:p>
    <w:p>
      <w:r>
        <w:rPr>
          <w:b w:val="0"/>
          <w:i w:val="0"/>
          <w:sz w:val="21"/>
        </w:rPr>
        <w:t xml:space="preserve">  - Signed: Subscription Agreement, Investor Attestation v2 (notarized), Source-of-Funds letter</w:t>
      </w:r>
    </w:p>
    <w:p>
      <w:r>
        <w:rPr>
          <w:b/>
          <w:color w:val="1F3864"/>
          <w:sz w:val="23"/>
        </w:rPr>
        <w:t>Acquisition / Hickory (mostly in hand from Drive)</w:t>
      </w:r>
    </w:p>
    <w:p>
      <w:r>
        <w:rPr>
          <w:b w:val="0"/>
          <w:i w:val="0"/>
          <w:sz w:val="21"/>
        </w:rPr>
        <w:t xml:space="preserve">  - Final executed MIPA (Rev 2.00) - confirm full signatures and Effective Date - FILED</w:t>
      </w:r>
    </w:p>
    <w:p>
      <w:r>
        <w:rPr>
          <w:b w:val="0"/>
          <w:i w:val="0"/>
          <w:sz w:val="21"/>
        </w:rPr>
        <w:t xml:space="preserve">  - Schedule 2.02 (ownership split Gleason/Lozano) - obtain</w:t>
      </w:r>
    </w:p>
    <w:p>
      <w:r>
        <w:rPr>
          <w:b w:val="0"/>
          <w:i w:val="0"/>
          <w:sz w:val="21"/>
        </w:rPr>
        <w:t xml:space="preserve">  - Tracy Gleason individual address - obtain</w:t>
      </w:r>
    </w:p>
    <w:p>
      <w:r>
        <w:rPr>
          <w:b w:val="0"/>
          <w:i w:val="0"/>
          <w:sz w:val="21"/>
        </w:rPr>
        <w:t xml:space="preserve">  - Hickory EIN letter (86-2886807), SOS certificate, PTAN, CHAP contract, HCSSA approval, 2021-2022 Form 1065 - collect from Drive into folder 10</w:t>
      </w:r>
    </w:p>
    <w:p>
      <w:r>
        <w:rPr>
          <w:b w:val="0"/>
          <w:i w:val="0"/>
          <w:sz w:val="21"/>
        </w:rPr>
        <w:t xml:space="preserve">  - Office lease/LOI for 700 N Main Street, Lindale, TX (term matching loan term)</w:t>
      </w:r>
    </w:p>
    <w:p>
      <w:r>
        <w:rPr>
          <w:b/>
          <w:color w:val="1F3864"/>
          <w:sz w:val="23"/>
        </w:rPr>
        <w:t>Entity documents</w:t>
      </w:r>
    </w:p>
    <w:p>
      <w:r>
        <w:rPr>
          <w:b w:val="0"/>
          <w:i w:val="0"/>
          <w:sz w:val="21"/>
        </w:rPr>
        <w:t xml:space="preserve">  - WY Certificate of Formation (or TX, per B2 resolution)</w:t>
      </w:r>
    </w:p>
    <w:p>
      <w:r>
        <w:rPr>
          <w:b w:val="0"/>
          <w:i w:val="0"/>
          <w:sz w:val="21"/>
        </w:rPr>
        <w:t xml:space="preserve">  - EIN assignment letter (CP-575) for Tyler Hospice HoldCo (41-4966640)</w:t>
      </w:r>
    </w:p>
    <w:p>
      <w:r>
        <w:rPr>
          <w:b w:val="0"/>
          <w:i w:val="0"/>
          <w:sz w:val="21"/>
        </w:rPr>
        <w:t xml:space="preserve">  - Executed Operating Agreement + Amendment No. 1</w:t>
      </w:r>
    </w:p>
    <w:p>
      <w:r>
        <w:rPr>
          <w:b w:val="0"/>
          <w:i w:val="0"/>
          <w:sz w:val="21"/>
        </w:rPr>
        <w:t xml:space="preserve">  - Certificate of Good Standing</w:t>
      </w:r>
    </w:p>
    <w:p>
      <w:r>
        <w:rPr>
          <w:b/>
          <w:color w:val="1F3864"/>
          <w:sz w:val="23"/>
        </w:rPr>
        <w:t>Ready to go (drafted in this package)</w:t>
      </w:r>
    </w:p>
    <w:p>
      <w:r>
        <w:rPr>
          <w:b w:val="0"/>
          <w:i w:val="0"/>
          <w:sz w:val="21"/>
        </w:rPr>
        <w:t xml:space="preserve">  - Company Profile, Use of Funds, Equity Injection memo, Business Debt Schedule</w:t>
      </w:r>
    </w:p>
    <w:p>
      <w:r>
        <w:rPr>
          <w:b w:val="0"/>
          <w:i w:val="0"/>
          <w:sz w:val="21"/>
        </w:rPr>
        <w:t xml:space="preserve">  - Business Plan Rev 5.00 (refresh financials if seller terms change per B1)</w:t>
      </w:r>
    </w:p>
    <w:p>
      <w:r>
        <w:rPr>
          <w:b w:val="0"/>
          <w:i w:val="0"/>
          <w:sz w:val="21"/>
        </w:rPr>
        <w:t xml:space="preserve">  - Lender Credit Memo, DSCR Sensitivity, Affiliate memo, Cover Letter + Q&amp;A</w:t>
      </w:r>
    </w:p>
    <w:p>
      <w:r>
        <w:rPr>
          <w:b w:val="0"/>
          <w:i w:val="0"/>
          <w:sz w:val="21"/>
        </w:rPr>
        <w:t xml:space="preserve">  - Submission Cover Sheet / TOC, Closing Checklist, Insurance Requirements</w:t>
      </w:r>
    </w:p>
    <w:p>
      <w:r>
        <w:rPr>
          <w:b w:val="0"/>
          <w:i w:val="0"/>
          <w:sz w:val="21"/>
        </w:rPr>
        <w:t xml:space="preserve">  - 4 Management Resumes (add personal identifiers)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