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Draft reply - John Hart (financing timing + checklist items)</w:t>
      </w:r>
    </w:p>
    <w:p>
      <w:r>
        <w:rPr>
          <w:b/>
          <w:sz w:val="22"/>
        </w:rPr>
        <w:t>To: John Hart | Cc: Mary Brownmiller | From: Geoff Schackmann | Re: RE: Azalea Hospice SBA Funding Request</w:t>
      </w:r>
    </w:p>
    <w:p>
      <w:r>
        <w:rPr>
          <w:b w:val="0"/>
          <w:sz w:val="20"/>
        </w:rPr>
        <w:t>John,</w:t>
      </w:r>
    </w:p>
    <w:p>
      <w:r>
        <w:rPr>
          <w:b w:val="0"/>
          <w:sz w:val="20"/>
        </w:rPr>
        <w:t>Thanks for the close read, and for catching the timing question - that's exactly the kind of thing I'd rather get right now than at closing.</w:t>
      </w:r>
    </w:p>
    <w:p>
      <w:pPr>
        <w:pStyle w:val="Heading1"/>
        <w:keepNext/>
      </w:pPr>
      <w:r>
        <w:rPr>
          <w:color w:val="1F3B2D"/>
        </w:rPr>
        <w:t>On SBA funding vs. the license transfer</w:t>
      </w:r>
    </w:p>
    <w:p>
      <w:r>
        <w:rPr>
          <w:b w:val="0"/>
          <w:sz w:val="20"/>
        </w:rPr>
        <w:t>You're right that SBA won't fund until the license is under the borrower's name, and that's actually built into how we sequenced this. The interim bank note funds the acquisition in September while Tyler Hospice Hold only holds 49% - that's private financing, not SBA money, so it doesn't run into that rule. The SBA loan is scheduled to fund on 1/15/2027, the same date the remaining 51% transfers and Tyler Hospice Hold reaches full ownership of Refuge. So the SBA proceeds don't move until the license is fully in the borrower's name.</w:t>
      </w:r>
    </w:p>
    <w:p>
      <w:r>
        <w:rPr>
          <w:b w:val="0"/>
          <w:sz w:val="20"/>
        </w:rPr>
        <w:t>One honest caveat: there's a difference between the ownership transfer itself (which happens that day under the purchase agreement) and CMS formally updating its own enrollment records to reflect it. Since this transfer lands after the 36-month post-certification window closes, it should qualify for a standard change-of-ownership notification rather than a full new-enrollment application, so any processing lag should be short - but I don't want to promise you zero gap without your read on it. How do your lenders typically handle that window on a hospice CHOW - do they need to see CMS's approval in hand before they'll fund, or is the executed transfer enough?</w:t>
      </w:r>
    </w:p>
    <w:p>
      <w:pPr>
        <w:pStyle w:val="Heading1"/>
        <w:keepNext/>
      </w:pPr>
      <w:r>
        <w:rPr>
          <w:color w:val="1F3B2D"/>
        </w:rPr>
        <w:t>One flag on ownership percentage</w:t>
      </w:r>
    </w:p>
    <w:p>
      <w:r>
        <w:rPr>
          <w:b w:val="0"/>
          <w:sz w:val="20"/>
        </w:rPr>
        <w:t>Your note assumes both James and I are at 20% or more, so items 6-8 would apply to both of us. Per our cap table James is at 19.5%, just under that threshold - which is also why he's been treated as a passive investor (source-of-funds documentation, no personal guaranty, no full PFS) rather than a 20%+ owner. Let me know if you still want the full personal package from him anyway for the file, but wanted to flag the percentage before it goes further.</w:t>
      </w:r>
    </w:p>
    <w:p>
      <w:pPr>
        <w:pStyle w:val="Heading1"/>
        <w:keepNext/>
      </w:pPr>
      <w:r>
        <w:rPr>
          <w:color w:val="1F3B2D"/>
        </w:rPr>
        <w:t>Your checklist items</w:t>
      </w:r>
    </w:p>
    <w:p>
      <w:r>
        <w:rPr>
          <w:b/>
          <w:sz w:val="22"/>
        </w:rPr>
        <w:t xml:space="preserve">1. Annual totals in the projections </w:t>
      </w:r>
      <w:r>
        <w:rPr>
          <w:sz w:val="22"/>
        </w:rPr>
        <w:t>Done. The financial projections workbook now has a fuller 3-Year Summary tab - annual revenue, cost, EBITDA, and net income buildup for each of the three years, plus a year-end balance sheet snapshot, not just the three headline numbers it had before. Attached.</w:t>
      </w:r>
    </w:p>
    <w:p>
      <w:r>
        <w:rPr>
          <w:b/>
          <w:sz w:val="22"/>
        </w:rPr>
        <w:t xml:space="preserve">2. Written narrative assumptions </w:t>
      </w:r>
      <w:r>
        <w:rPr>
          <w:sz w:val="22"/>
        </w:rPr>
        <w:t>Attached - the assumptions narrative walks through census, revenue, officer salaries, staffing, debt service, and results in prose, not just tables.</w:t>
      </w:r>
    </w:p>
    <w:p>
      <w:r>
        <w:rPr>
          <w:b/>
          <w:sz w:val="22"/>
        </w:rPr>
        <w:t xml:space="preserve">3. Checklist items highlighted in yellow </w:t>
      </w:r>
      <w:r>
        <w:rPr>
          <w:sz w:val="22"/>
        </w:rPr>
        <w:t>Attached, with one thing to flag: I highlighted every section that applies to this deal (all loans, all individuals, existing business/acquisition, startup/change-of-ownership) but left Land Purchase/Construction, Franchise, and the COVID section unhighlighted since none of those apply here - no land purchase, no franchise, and we have no PPP/EIDL or other stimulus financing. Flag it if you read any of those as relevant and I'll revisit.</w:t>
      </w:r>
    </w:p>
    <w:p>
      <w:r>
        <w:rPr>
          <w:b/>
          <w:sz w:val="22"/>
        </w:rPr>
        <w:t xml:space="preserve">4. Joint PFS </w:t>
      </w:r>
      <w:r>
        <w:rPr>
          <w:sz w:val="22"/>
        </w:rPr>
        <w:t>In progress - my wife's information will be included per the community-property structure already on file.</w:t>
      </w:r>
    </w:p>
    <w:p>
      <w:r>
        <w:rPr>
          <w:b/>
          <w:sz w:val="22"/>
        </w:rPr>
        <w:t xml:space="preserve">5. Affiliate businesses </w:t>
      </w:r>
      <w:r>
        <w:rPr>
          <w:sz w:val="22"/>
        </w:rPr>
        <w:t>On my side, the one affiliate item is a passive note from the VistaRiver sale (already disclosed as PFS support). Checking with James on his side and will report back.</w:t>
      </w:r>
    </w:p>
    <w:p>
      <w:r>
        <w:rPr>
          <w:b/>
          <w:sz w:val="22"/>
        </w:rPr>
        <w:t xml:space="preserve">6. Personal cash flow </w:t>
      </w:r>
      <w:r>
        <w:rPr>
          <w:sz w:val="22"/>
        </w:rPr>
        <w:t>In progress.</w:t>
      </w:r>
    </w:p>
    <w:p>
      <w:r>
        <w:rPr>
          <w:b/>
          <w:sz w:val="22"/>
        </w:rPr>
        <w:t xml:space="preserve">7. Management resume </w:t>
      </w:r>
      <w:r>
        <w:rPr>
          <w:sz w:val="22"/>
        </w:rPr>
        <w:t>The business plan has full bios for me and the other principals - happy to pull those into the standalone resume format if you'd rather have them separate.</w:t>
      </w:r>
    </w:p>
    <w:p>
      <w:r>
        <w:rPr>
          <w:b/>
          <w:sz w:val="22"/>
        </w:rPr>
        <w:t xml:space="preserve">8. Proof of US citizenship </w:t>
      </w:r>
      <w:r>
        <w:rPr>
          <w:sz w:val="22"/>
        </w:rPr>
        <w:t>Gathering passports now for the owners this applies to.</w:t>
      </w:r>
    </w:p>
    <w:p>
      <w:r>
        <w:rPr>
          <w:b/>
          <w:sz w:val="22"/>
        </w:rPr>
        <w:t xml:space="preserve">9. More detail on the business debt schedule </w:t>
      </w:r>
      <w:r>
        <w:rPr>
          <w:sz w:val="22"/>
        </w:rPr>
        <w:t>Added - the assumptions narrative now includes a dedicated section walking through why the debt schedule form carries a single line (the interim bank note), what the balance shown represents, and how it gets retired by the SBA loan.</w:t>
      </w:r>
    </w:p>
    <w:p>
      <w:r>
        <w:rPr>
          <w:b/>
          <w:sz w:val="22"/>
        </w:rPr>
        <w:t xml:space="preserve">10. Proof of source of cash injection </w:t>
      </w:r>
      <w:r>
        <w:rPr>
          <w:sz w:val="22"/>
        </w:rPr>
        <w:t>James's $100K wire is already documented; gathering the supporting bank/brokerage statements now, and will send the same for the remaining tranches as they land.</w:t>
      </w:r>
    </w:p>
    <w:p>
      <w:r>
        <w:rPr>
          <w:b/>
          <w:sz w:val="22"/>
        </w:rPr>
        <w:t xml:space="preserve">11. 2025 tax return extension </w:t>
      </w:r>
      <w:r>
        <w:rPr>
          <w:sz w:val="22"/>
        </w:rPr>
        <w:t>Will send a copy if the return isn't filed by the time we get back to you on the rest.</w:t>
      </w:r>
    </w:p>
    <w:p>
      <w:r>
        <w:rPr>
          <w:b w:val="0"/>
          <w:sz w:val="20"/>
        </w:rPr>
        <w:t>Attached: updated financial projections (with annual totals), the assumptions narrative (with the new debt schedule section), and your checklist with the applicable items highlighted.</w:t>
      </w:r>
    </w:p>
    <w:p>
      <w:r>
        <w:rPr>
          <w:b w:val="0"/>
          <w:sz w:val="20"/>
        </w:rPr>
        <w:t>Let me know your thoughts on the CMS timing question above whenever you get a chance, and I'll keep working the personal items in parallel.</w:t>
      </w:r>
    </w:p>
    <w:p>
      <w:r>
        <w:rPr>
          <w:b w:val="0"/>
          <w:sz w:val="20"/>
        </w:rPr>
        <w:t>Talk soon,</w:t>
      </w:r>
    </w:p>
    <w:p>
      <w:r>
        <w:rPr>
          <w:b/>
          <w:sz w:val="20"/>
        </w:rPr>
        <w:t>Geoff Schackmann</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Azalea Hospice - Reply to John Hart (Financing Timing + Checklist) | Confidential | </w:t>
    </w:r>
    <w:r>
      <w:rPr>
        <w:sz w:val="16"/>
      </w:rPr>
      <w:t xml:space="preserve">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ptos" w:hAnsi="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ptos" w:hAnsi="Aptos"/>
    </w:rPr>
  </w:style>
  <w:style w:type="paragraph" w:styleId="BodyText">
    <w:name w:val="Body Text"/>
    <w:basedOn w:val="Normal"/>
    <w:link w:val="BodyTextChar"/>
    <w:uiPriority w:val="99"/>
    <w:unhideWhenUsed/>
    <w:rsid w:val="00AA1D8D"/>
    <w:pPr>
      <w:spacing w:after="120"/>
    </w:pPr>
    <w:rPr>
      <w:rFonts w:ascii="Aptos" w:hAnsi="Apto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