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Projection Assumptions Narrative</w:t>
      </w:r>
    </w:p>
    <w:p>
      <w:r>
        <w:rPr>
          <w:b/>
          <w:sz w:val="20"/>
        </w:rPr>
        <w:t>Accompanies Azalea_Hospice_Proforma_Rev4.10_DYNAMIC.xlsx (36 monthly periods; every calculation cell is a live formula; all inputs on the Control Tower tab) | 7/16/2026</w:t>
      </w:r>
    </w:p>
    <w:p>
      <w:pPr>
        <w:pStyle w:val="Heading1"/>
        <w:keepNext/>
      </w:pPr>
      <w:r>
        <w:rPr>
          <w:color w:val="1F3B2D"/>
        </w:rPr>
        <w:t>Census (the revenue driver)</w:t>
      </w:r>
    </w:p>
    <w:p>
      <w:r>
        <w:rPr>
          <w:b w:val="0"/>
          <w:sz w:val="20"/>
        </w:rPr>
        <w:t>End-of-month census of 24 patients by month 2, 34 by month 6, and 40 by month 12, reaching 50 by month 24 and 56 by month 36. Admissions ramp from the team's established East Texas referral relationships; discharges follow an average-length-of-stay-driven waterfall. The team has operated at these census levels before in this market - the ramp is a return to a proven book, not speculation.</w:t>
      </w:r>
    </w:p>
    <w:p>
      <w:pPr>
        <w:pStyle w:val="Heading1"/>
        <w:keepNext/>
      </w:pPr>
      <w:r>
        <w:rPr>
          <w:color w:val="1F3B2D"/>
        </w:rPr>
        <w:t>Revenue</w:t>
      </w:r>
    </w:p>
    <w:p>
      <w:r>
        <w:rPr>
          <w:b w:val="0"/>
          <w:sz w:val="20"/>
        </w:rPr>
        <w:t>Medicare Routine Home Care per-diem at FY2026 CMS rates for Smith County, split between the first-60-day high rate (~15% of patient days) and the post-60-day low rate, net ~$172 per patient day blended after sequestration and billing fees. Medicaid nursing-facility room &amp; board is passed through at the standard rate. Collections lag billing by ~30-60 days (NOE timing) - the cash-flow tab models the lag explicitly, month by month.</w:t>
      </w:r>
    </w:p>
    <w:p>
      <w:pPr>
        <w:pStyle w:val="Heading1"/>
        <w:keepNext/>
      </w:pPr>
      <w:r>
        <w:rPr>
          <w:color w:val="1F3B2D"/>
        </w:rPr>
        <w:t>Officer salaries (separately stated)</w:t>
      </w:r>
    </w:p>
    <w:p>
      <w:r>
        <w:rPr>
          <w:b w:val="0"/>
          <w:sz w:val="20"/>
        </w:rPr>
        <w:t>Administrator $150,000; Director of Nursing $120,000; Community Liaison $120,000; Office Manager $60,000. Benefits load 22% plus 3% workers compensation.</w:t>
      </w:r>
    </w:p>
    <w:p>
      <w:pPr>
        <w:pStyle w:val="Heading1"/>
        <w:keepNext/>
      </w:pPr>
      <w:r>
        <w:rPr>
          <w:color w:val="1F3B2D"/>
        </w:rPr>
        <w:t>Clinical staffing</w:t>
      </w:r>
    </w:p>
    <w:p>
      <w:r>
        <w:rPr>
          <w:b w:val="0"/>
          <w:sz w:val="20"/>
        </w:rPr>
        <w:t>Nursing, aide, chaplain, and social-work FTEs scale with census on standard hospice staffing ratios; per-patient costs (pharmacy, DME, supplies) are per-patient-day rates from the line-item budget.</w:t>
      </w:r>
    </w:p>
    <w:p>
      <w:pPr>
        <w:pStyle w:val="Heading1"/>
        <w:keepNext/>
      </w:pPr>
      <w:r>
        <w:rPr>
          <w:color w:val="1F3B2D"/>
        </w:rPr>
        <w:t>Contingency</w:t>
      </w:r>
    </w:p>
    <w:p>
      <w:r>
        <w:rPr>
          <w:b w:val="0"/>
          <w:sz w:val="20"/>
        </w:rPr>
        <w:t>5% of net patient revenue is deducted below EBITDA as an explicit contingency in cash flow.</w:t>
      </w:r>
    </w:p>
    <w:p>
      <w:pPr>
        <w:pStyle w:val="Heading1"/>
        <w:keepNext/>
      </w:pPr>
      <w:r>
        <w:rPr>
          <w:color w:val="1F3B2D"/>
        </w:rPr>
        <w:t>Debt service</w:t>
      </w:r>
    </w:p>
    <w:p>
      <w:r>
        <w:rPr>
          <w:b w:val="0"/>
          <w:sz w:val="20"/>
        </w:rPr>
        <w:t>Base case (Rev 4.10): the interim bank note ($500,000 at 6%/36-month) funds September and pays the sellers in full ($15,211/month October-December); the SBA 7(a) funds ~1/15/2027 and refinances the bank note (~$461,676 payoff), leaving a single $6,747/month payment (10.5%/10-year) from February. Owner salaries defer until break-even census ($42,500 accrued, repaid January); clinical hiring lags census one month with PRN coverage.</w:t>
      </w:r>
    </w:p>
    <w:p>
      <w:pPr>
        <w:pStyle w:val="Heading1"/>
        <w:keepNext/>
      </w:pPr>
      <w:r>
        <w:rPr>
          <w:color w:val="1F3B2D"/>
        </w:rPr>
        <w:t>Business Debt Schedule - detail</w:t>
      </w:r>
    </w:p>
    <w:p>
      <w:r>
        <w:rPr>
          <w:b w:val="0"/>
          <w:sz w:val="20"/>
        </w:rPr>
        <w:t>The Business Debt Schedule form carries a single line because there is only one piece of existing/interim debt in the structure: the interim bank note, a $500,000 acquisition note funded in September 2026 by a bank relationship Jim Bullard holds in Texas, at 6.00% with a 36-month amortization and a $15,211 monthly payment. It funds the seller payoff in full - this is what the model calls the 'seller refi.' The balance shown on the form (~$461,676) is the note's projected balance as of 1/15/2027, the date the SBA 7(a) is scheduled to fund and refinance it. Collateral is the business assets, and the note is expressly structured to be repaid by the SBA loan - it is not intended to remain outstanding alongside the SBA debt. The SBA loan itself does not appear as a line on this form because it is the loan being applied for, not existing debt; once it funds and retires the bank note, the business carries a single $6,747/month SBA payment going forward with no other debt.</w:t>
      </w:r>
    </w:p>
    <w:p>
      <w:pPr>
        <w:pStyle w:val="Heading1"/>
        <w:keepNext/>
      </w:pPr>
      <w:r>
        <w:rPr>
          <w:color w:val="1F3B2D"/>
        </w:rPr>
        <w:t>Results on these assumptions</w:t>
      </w:r>
    </w:p>
    <w:p>
      <w:r>
        <w:rPr>
          <w:b w:val="0"/>
          <w:sz w:val="20"/>
        </w:rPr>
        <w:t>EBITDA $299K year 1 (15.5% margin), $696K year 2 (24.1%), $985K year 3 (28.2%), before debt service; month-12 EBITDA margin 22.3%. Break-even census ~17-18 patients, crossed in month 2. The model carries no revolver or assumed facility: base-case cash never goes negative (minimum month $3,354, disclosed), and the documented slow-census downside needs ~$30K of additional capital - shown honestly, not plugged.</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Azalea Hospice - Projection Assumptions | Confidential | </w:t>
    </w:r>
    <w:r>
      <w:rPr>
        <w:sz w:val="16"/>
      </w:rPr>
      <w:t xml:space="preserve">Page </w:t>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