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252" w:lineRule="auto"/>
        <w:jc w:val="center"/>
      </w:pPr>
      <w:r>
        <w:rPr>
          <w:rFonts w:ascii="Times New Roman" w:hAnsi="Times New Roman" w:eastAsia="Times New Roman" w:cs="Times New Roman"/>
          <w:b/>
          <w:i w:val="0"/>
          <w:color w:val="000000"/>
          <w:sz w:val="28"/>
        </w:rPr>
        <w:t>FINANCIAL ADVISOR MEMORANDUM</w:t>
      </w:r>
    </w:p>
    <w:p>
      <w:pPr>
        <w:spacing w:after="240" w:line="252" w:lineRule="auto"/>
        <w:jc w:val="center"/>
      </w:pPr>
      <w:r>
        <w:rPr>
          <w:rFonts w:ascii="Times New Roman" w:hAnsi="Times New Roman"/>
          <w:b w:val="0"/>
          <w:i/>
          <w:color w:val="000000"/>
          <w:sz w:val="22"/>
        </w:rPr>
        <w:t>Proposed Tyler Alternate Delivery Site Operating Bridge</w:t>
      </w:r>
    </w:p>
    <w:tbl>
      <w:tblPr>
        <w:tblW w:type="dxa" w:w="2700"/>
        <w:jc w:val="right"/>
        <w:tblLayout w:type="fixed"/>
        <w:tblLook w:firstColumn="1" w:firstRow="1" w:lastColumn="0" w:lastRow="0" w:noHBand="0" w:noVBand="1" w:val="04A0"/>
      </w:tblPr>
      <w:tblGrid>
        <w:gridCol w:w="2700"/>
      </w:tblGrid>
      <w:tr>
        <w:tc>
          <w:tcPr>
            <w:tcW w:type="dxa" w:w="2700"/>
            <w:vAlign w:val="center"/>
            <w:shd w:fill="FFF2F2"/>
            <w:tcBorders>
              <w:top w:val="single" w:sz="18" w:space="0" w:color="C00000"/>
              <w:left w:val="single" w:sz="18" w:space="0" w:color="C00000"/>
              <w:bottom w:val="single" w:sz="18" w:space="0" w:color="C00000"/>
              <w:right w:val="single" w:sz="18" w:space="0" w:color="C00000"/>
            </w:tcBorders>
          </w:tcPr>
          <w:p>
            <w:pPr>
              <w:spacing w:before="40" w:after="40"/>
              <w:jc w:val="center"/>
            </w:pPr>
            <w:r>
              <w:rPr>
                <w:rFonts w:ascii="Times New Roman" w:hAnsi="Times New Roman" w:eastAsia="Times New Roman"/>
                <w:b/>
                <w:color w:val="C00000"/>
                <w:sz w:val="19"/>
              </w:rPr>
              <w:t>Draft Revision 1.00</w:t>
            </w:r>
          </w:p>
        </w:tc>
      </w:tr>
    </w:tbl>
    <w:p>
      <w:pPr>
        <w:spacing w:after="0" w:line="252" w:lineRule="auto"/>
      </w:pPr>
      <w:r>
        <w:rPr>
          <w:rFonts w:ascii="Times New Roman" w:hAnsi="Times New Roman" w:eastAsia="Times New Roman" w:cs="Times New Roman"/>
          <w:b/>
          <w:i w:val="0"/>
          <w:color w:val="000000"/>
          <w:sz w:val="21"/>
        </w:rPr>
        <w:t xml:space="preserve">To: </w:t>
      </w:r>
      <w:r>
        <w:rPr>
          <w:rFonts w:ascii="Times New Roman" w:hAnsi="Times New Roman" w:eastAsia="Times New Roman" w:cs="Times New Roman"/>
          <w:b w:val="0"/>
          <w:i w:val="0"/>
          <w:color w:val="000000"/>
          <w:sz w:val="21"/>
        </w:rPr>
        <w:t>Profound Hospice Care's Financial Advisor</w:t>
      </w:r>
    </w:p>
    <w:p>
      <w:pPr>
        <w:spacing w:after="0" w:line="252" w:lineRule="auto"/>
      </w:pPr>
      <w:r>
        <w:rPr>
          <w:rFonts w:ascii="Times New Roman" w:hAnsi="Times New Roman" w:eastAsia="Times New Roman" w:cs="Times New Roman"/>
          <w:b/>
          <w:i w:val="0"/>
          <w:color w:val="000000"/>
          <w:sz w:val="21"/>
        </w:rPr>
        <w:t xml:space="preserve">Via: </w:t>
      </w:r>
      <w:r>
        <w:rPr>
          <w:rFonts w:ascii="Times New Roman" w:hAnsi="Times New Roman" w:eastAsia="Times New Roman" w:cs="Times New Roman"/>
          <w:b w:val="0"/>
          <w:i w:val="0"/>
          <w:color w:val="000000"/>
          <w:sz w:val="21"/>
        </w:rPr>
        <w:t>Patrick Ayeni, Profound Hospice Care</w:t>
      </w:r>
    </w:p>
    <w:p>
      <w:pPr>
        <w:spacing w:after="0" w:line="252" w:lineRule="auto"/>
      </w:pPr>
      <w:r>
        <w:rPr>
          <w:rFonts w:ascii="Times New Roman" w:hAnsi="Times New Roman"/>
          <w:color w:val="000000"/>
          <w:sz w:val="21"/>
        </w:rPr>
        <w:t>From: Geoff Schackmann, on behalf of Tyler Hospice Hold, LLC and its future operating subsidiary (intended DBA: Azalea Hospice)</w:t>
      </w:r>
    </w:p>
    <w:p>
      <w:pPr>
        <w:spacing w:after="0" w:line="252" w:lineRule="auto"/>
      </w:pPr>
      <w:r>
        <w:rPr>
          <w:rFonts w:ascii="Times New Roman" w:hAnsi="Times New Roman" w:eastAsia="Times New Roman" w:cs="Times New Roman"/>
          <w:b/>
          <w:i w:val="0"/>
          <w:color w:val="000000"/>
          <w:sz w:val="21"/>
        </w:rPr>
        <w:t xml:space="preserve">Date: </w:t>
      </w:r>
      <w:r>
        <w:rPr>
          <w:rFonts w:ascii="Times New Roman" w:hAnsi="Times New Roman" w:eastAsia="Times New Roman" w:cs="Times New Roman"/>
          <w:b w:val="0"/>
          <w:i w:val="0"/>
          <w:color w:val="000000"/>
          <w:sz w:val="21"/>
        </w:rPr>
        <w:t>August 6, 2026</w:t>
      </w:r>
    </w:p>
    <w:p>
      <w:pPr>
        <w:spacing w:after="0" w:line="252" w:lineRule="auto"/>
      </w:pPr>
      <w:r>
        <w:rPr>
          <w:rFonts w:ascii="Times New Roman" w:hAnsi="Times New Roman" w:eastAsia="Times New Roman" w:cs="Times New Roman"/>
          <w:b/>
          <w:i/>
          <w:color w:val="000000"/>
          <w:sz w:val="21"/>
        </w:rPr>
        <w:t xml:space="preserve">Status: </w:t>
      </w:r>
      <w:r>
        <w:rPr>
          <w:rFonts w:ascii="Times New Roman" w:hAnsi="Times New Roman" w:eastAsia="Times New Roman" w:cs="Times New Roman"/>
          <w:b w:val="0"/>
          <w:i/>
          <w:color w:val="000000"/>
          <w:sz w:val="21"/>
        </w:rPr>
        <w:t>Confidential, non-binding discussion draft for advisor review and redline</w:t>
      </w:r>
    </w:p>
    <w:p>
      <w:pPr>
        <w:spacing w:before="200" w:after="200" w:line="252" w:lineRule="auto"/>
        <w:shd w:fill="FFFFFF" w:val="clear"/>
      </w:pPr>
      <w:r>
        <w:rPr>
          <w:rFonts w:ascii="Times New Roman" w:hAnsi="Times New Roman" w:eastAsia="Times New Roman" w:cs="Times New Roman"/>
          <w:b/>
          <w:i/>
          <w:color w:val="000000"/>
          <w:sz w:val="21"/>
        </w:rPr>
        <w:t xml:space="preserve">Purpose. </w:t>
      </w:r>
      <w:r>
        <w:rPr>
          <w:rFonts w:ascii="Times New Roman" w:hAnsi="Times New Roman" w:eastAsia="Times New Roman" w:cs="Times New Roman"/>
          <w:b w:val="0"/>
          <w:i/>
          <w:color w:val="000000"/>
          <w:sz w:val="21"/>
        </w:rPr>
        <w:t>This memorandum gives Profound's financial advisor a concise framework for evaluating the economics, funding mechanics, cash controls, and reporting obligations of a proposed Tyler ADS operating bridge. It is not a forecast, valuation, fair-market-value opinion, tax opinion, or commitment to close.</w:t>
      </w:r>
    </w:p>
    <w:p>
      <w:pPr>
        <w:pStyle w:val="Heading1"/>
        <w:spacing w:line="252" w:lineRule="auto"/>
      </w:pPr>
      <w:r>
        <w:rPr>
          <w:rFonts w:ascii="Times New Roman" w:hAnsi="Times New Roman" w:eastAsia="Times New Roman" w:cs="Times New Roman"/>
          <w:b/>
          <w:color w:val="000000"/>
          <w:sz w:val="24"/>
        </w:rPr>
        <w:t>1. Executive framing</w:t>
      </w:r>
    </w:p>
    <w:p>
      <w:pPr>
        <w:spacing w:line="252" w:lineRule="auto"/>
      </w:pPr>
      <w:r>
        <w:rPr>
          <w:rFonts w:ascii="Times New Roman" w:hAnsi="Times New Roman" w:eastAsia="Times New Roman" w:cs="Times New Roman"/>
          <w:color w:val="000000"/>
          <w:sz w:val="21"/>
        </w:rPr>
        <w:t>Tyler Hospice Hold, LLC, through its future operating subsidiary intended to use the DBA Azalea Hospice, proposes to fund and operate the Tyler expansion while Profound remains the licensed and enrolled hospice provider, controls payer receipts, and retains provider-level authority. The operating company has been identified and is currently undergoing diligence; formation and DBA registration remain pending. The business objective is a 12-month operating bridge, with one additional 12-month extension available only by mutual written agreement. The parties intend to document the relationship in definitive agreements after financial, legal, regulatory, payroll, and operational review.</w:t>
      </w:r>
    </w:p>
    <w:p>
      <w:pPr>
        <w:spacing w:line="252" w:lineRule="auto"/>
      </w:pPr>
      <w:r>
        <w:rPr>
          <w:rFonts w:ascii="Times New Roman" w:hAnsi="Times New Roman" w:eastAsia="Times New Roman" w:cs="Times New Roman"/>
          <w:color w:val="000000"/>
          <w:sz w:val="21"/>
        </w:rPr>
        <w:t>The financial design is intended to protect Profound from funding Tyler's launch, isolate Tyler activity from Profound's existing operations, and give both parties timely visibility into claims, receipts, costs, reserves, and amounts due. The structure should not be characterized as a payment for access to billing credentials.</w:t>
      </w:r>
    </w:p>
    <w:p>
      <w:pPr>
        <w:pStyle w:val="Heading1"/>
        <w:spacing w:line="252" w:lineRule="auto"/>
      </w:pPr>
      <w:r>
        <w:rPr>
          <w:rFonts w:ascii="Times New Roman" w:hAnsi="Times New Roman" w:eastAsia="Times New Roman" w:cs="Times New Roman"/>
          <w:b/>
          <w:color w:val="000000"/>
          <w:sz w:val="24"/>
        </w:rPr>
        <w:t>2. Confirmed business terms for documentation</w:t>
      </w:r>
    </w:p>
    <w:tbl>
      <w:tblPr>
        <w:tblStyle w:val="TableGrid"/>
        <w:tblW w:type="dxa" w:w="9360"/>
        <w:tblLayout w:type="fixed"/>
        <w:tblLook w:firstColumn="1" w:firstRow="1" w:lastColumn="0" w:lastRow="0" w:noHBand="0" w:noVBand="1" w:val="04A0"/>
        <w:tblInd w:w="120" w:type="dxa"/>
      </w:tblPr>
      <w:tblGrid>
        <w:gridCol w:w="2380"/>
        <w:gridCol w:w="6980"/>
      </w:tblGrid>
      <w:tr>
        <w:trPr>
          <w:tblHeader w:val="true"/>
          <w:cantSplit w:val="true"/>
          <w:tblHeader w:val="true"/>
          <w:cantSplit/>
        </w:trPr>
        <w:tc>
          <w:tcPr>
            <w:tcW w:type="dxa" w:w="2380"/>
            <w:shd w:fill="FFFFFF" w:val="clear"/>
            <w:tcMar>
              <w:top w:w="90" w:type="dxa"/>
              <w:start w:w="100" w:type="dxa"/>
              <w:bottom w:w="90" w:type="dxa"/>
              <w:end w:w="100" w:type="dxa"/>
            </w:tcMar>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40" w:line="240" w:lineRule="auto" w:before="0"/>
            </w:pPr>
            <w:r>
              <w:rPr>
                <w:rFonts w:ascii="Times New Roman" w:hAnsi="Times New Roman" w:eastAsia="Times New Roman" w:cs="Times New Roman"/>
                <w:b/>
                <w:i w:val="0"/>
                <w:color w:val="000000"/>
                <w:sz w:val="19"/>
              </w:rPr>
              <w:t>Term</w:t>
            </w:r>
          </w:p>
        </w:tc>
        <w:tc>
          <w:tcPr>
            <w:tcW w:type="dxa" w:w="6980"/>
            <w:shd w:fill="FFFFFF" w:val="clear"/>
            <w:tcMar>
              <w:top w:w="90" w:type="dxa"/>
              <w:start w:w="100" w:type="dxa"/>
              <w:bottom w:w="90" w:type="dxa"/>
              <w:end w:w="100" w:type="dxa"/>
            </w:tcMar>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40" w:line="240" w:lineRule="auto" w:before="0"/>
            </w:pPr>
            <w:r>
              <w:rPr>
                <w:rFonts w:ascii="Times New Roman" w:hAnsi="Times New Roman" w:eastAsia="Times New Roman" w:cs="Times New Roman"/>
                <w:b/>
                <w:i w:val="0"/>
                <w:color w:val="000000"/>
                <w:sz w:val="19"/>
              </w:rPr>
              <w:t>Current business understanding</w:t>
            </w:r>
          </w:p>
        </w:tc>
      </w:tr>
      <w:tr>
        <w:trPr>
          <w:cantSplit w:val="true"/>
          <w:cantSplit/>
        </w:trPr>
        <w:tc>
          <w:tcPr>
            <w:tcW w:type="dxa" w:w="2380"/>
            <w:tcMar>
              <w:top w:w="90" w:type="dxa"/>
              <w:start w:w="100" w:type="dxa"/>
              <w:bottom w:w="90" w:type="dxa"/>
              <w:end w:w="100" w:type="dxa"/>
            </w:tcMar>
            <w:vAlign w:val="center"/>
            <w:shd w:fill="FFFFFF" w:val="cle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40" w:line="240" w:lineRule="auto" w:before="0"/>
            </w:pPr>
            <w:r>
              <w:rPr>
                <w:rFonts w:ascii="Times New Roman" w:hAnsi="Times New Roman" w:eastAsia="Times New Roman" w:cs="Times New Roman"/>
                <w:b w:val="0"/>
                <w:i w:val="0"/>
                <w:color w:val="000000"/>
                <w:sz w:val="19"/>
              </w:rPr>
              <w:t>Ownership of Tyler operating company</w:t>
            </w:r>
          </w:p>
        </w:tc>
        <w:tc>
          <w:tcPr>
            <w:tcW w:type="dxa" w:w="6980"/>
            <w:tcMar>
              <w:top w:w="90" w:type="dxa"/>
              <w:start w:w="100" w:type="dxa"/>
              <w:bottom w:w="90" w:type="dxa"/>
              <w:end w:w="100" w:type="dxa"/>
            </w:tcMar>
            <w:vAlign w:val="center"/>
            <w:shd w:fill="FFFFFF" w:val="cle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40" w:line="240" w:lineRule="auto" w:before="0"/>
            </w:pPr>
            <w:r>
              <w:rPr>
                <w:rFonts w:ascii="Times New Roman" w:hAnsi="Times New Roman" w:eastAsia="Times New Roman" w:cs="Times New Roman"/>
                <w:b w:val="0"/>
                <w:i w:val="0"/>
                <w:color w:val="000000"/>
                <w:sz w:val="19"/>
              </w:rPr>
              <w:t>Geoff Schackmann 36%; Jim Bullard 25%; Tyler employee ownership group 39%. Profound is not currently assumed to receive permanent equity in the Tyler operating company.</w:t>
            </w:r>
          </w:p>
        </w:tc>
      </w:tr>
      <w:tr>
        <w:trPr>
          <w:cantSplit w:val="true"/>
          <w:cantSplit/>
        </w:trPr>
        <w:tc>
          <w:tcPr>
            <w:tcW w:type="dxa" w:w="2380"/>
            <w:tcMar>
              <w:top w:w="90" w:type="dxa"/>
              <w:start w:w="100" w:type="dxa"/>
              <w:bottom w:w="90" w:type="dxa"/>
              <w:end w:w="100" w:type="dxa"/>
            </w:tcMar>
            <w:vAlign w:val="center"/>
            <w:shd w:fill="FFFFFF" w:val="cle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40" w:line="240" w:lineRule="auto" w:before="0"/>
            </w:pPr>
            <w:r>
              <w:rPr>
                <w:rFonts w:ascii="Times New Roman" w:hAnsi="Times New Roman" w:eastAsia="Times New Roman" w:cs="Times New Roman"/>
                <w:b w:val="0"/>
                <w:i w:val="0"/>
                <w:color w:val="000000"/>
                <w:sz w:val="19"/>
              </w:rPr>
              <w:t>Committed capital</w:t>
            </w:r>
          </w:p>
        </w:tc>
        <w:tc>
          <w:tcPr>
            <w:tcW w:type="dxa" w:w="6980"/>
            <w:tcMar>
              <w:top w:w="90" w:type="dxa"/>
              <w:start w:w="100" w:type="dxa"/>
              <w:bottom w:w="90" w:type="dxa"/>
              <w:end w:w="100" w:type="dxa"/>
            </w:tcMar>
            <w:vAlign w:val="center"/>
            <w:shd w:fill="FFFFFF" w:val="cle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40" w:line="240" w:lineRule="auto" w:before="0"/>
            </w:pPr>
            <w:r>
              <w:rPr>
                <w:rFonts w:ascii="Times New Roman" w:hAnsi="Times New Roman" w:eastAsia="Times New Roman" w:cs="Times New Roman"/>
                <w:b w:val="0"/>
                <w:i w:val="0"/>
                <w:color w:val="000000"/>
                <w:sz w:val="19"/>
              </w:rPr>
              <w:t>$250,000 of equity committed; approximately $20,000 spent; approximately $230,000 currently available.</w:t>
            </w:r>
          </w:p>
        </w:tc>
      </w:tr>
      <w:tr>
        <w:trPr>
          <w:cantSplit w:val="true"/>
          <w:cantSplit/>
        </w:trPr>
        <w:tc>
          <w:tcPr>
            <w:tcW w:type="dxa" w:w="2380"/>
            <w:tcMar>
              <w:top w:w="90" w:type="dxa"/>
              <w:start w:w="100" w:type="dxa"/>
              <w:bottom w:w="90" w:type="dxa"/>
              <w:end w:w="100" w:type="dxa"/>
            </w:tcMar>
            <w:vAlign w:val="center"/>
            <w:shd w:fill="FFFFFF" w:val="cle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40" w:line="240" w:lineRule="auto" w:before="0"/>
            </w:pPr>
            <w:r>
              <w:rPr>
                <w:rFonts w:ascii="Times New Roman" w:hAnsi="Times New Roman" w:eastAsia="Times New Roman" w:cs="Times New Roman"/>
                <w:b w:val="0"/>
                <w:i w:val="0"/>
                <w:color w:val="000000"/>
                <w:sz w:val="19"/>
              </w:rPr>
              <w:t>Debt</w:t>
            </w:r>
          </w:p>
        </w:tc>
        <w:tc>
          <w:tcPr>
            <w:tcW w:type="dxa" w:w="6980"/>
            <w:tcMar>
              <w:top w:w="90" w:type="dxa"/>
              <w:start w:w="100" w:type="dxa"/>
              <w:bottom w:w="90" w:type="dxa"/>
              <w:end w:w="100" w:type="dxa"/>
            </w:tcMar>
            <w:vAlign w:val="center"/>
            <w:shd w:fill="FFFFFF" w:val="cle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40" w:line="240" w:lineRule="auto" w:before="0"/>
            </w:pPr>
            <w:r>
              <w:rPr>
                <w:rFonts w:ascii="Times New Roman" w:hAnsi="Times New Roman" w:eastAsia="Times New Roman" w:cs="Times New Roman"/>
                <w:b w:val="0"/>
                <w:i w:val="0"/>
                <w:color w:val="000000"/>
                <w:sz w:val="19"/>
              </w:rPr>
              <w:t>No bank debt is assumed as a source of launch liquidity.</w:t>
            </w:r>
          </w:p>
        </w:tc>
      </w:tr>
      <w:tr>
        <w:trPr>
          <w:cantSplit w:val="true"/>
          <w:cantSplit/>
        </w:trPr>
        <w:tc>
          <w:tcPr>
            <w:tcW w:type="dxa" w:w="2380"/>
            <w:tcMar>
              <w:top w:w="90" w:type="dxa"/>
              <w:start w:w="100" w:type="dxa"/>
              <w:bottom w:w="90" w:type="dxa"/>
              <w:end w:w="100" w:type="dxa"/>
            </w:tcMar>
            <w:vAlign w:val="center"/>
            <w:shd w:fill="FFFFFF" w:val="cle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40" w:line="240" w:lineRule="auto" w:before="0"/>
            </w:pPr>
            <w:r>
              <w:rPr>
                <w:rFonts w:ascii="Times New Roman" w:hAnsi="Times New Roman" w:eastAsia="Times New Roman" w:cs="Times New Roman"/>
                <w:b w:val="0"/>
                <w:i w:val="0"/>
                <w:color w:val="000000"/>
                <w:sz w:val="19"/>
              </w:rPr>
              <w:t>Profound fixed fee</w:t>
            </w:r>
          </w:p>
        </w:tc>
        <w:tc>
          <w:tcPr>
            <w:tcW w:type="dxa" w:w="6980"/>
            <w:tcMar>
              <w:top w:w="90" w:type="dxa"/>
              <w:start w:w="100" w:type="dxa"/>
              <w:bottom w:w="90" w:type="dxa"/>
              <w:end w:w="100" w:type="dxa"/>
            </w:tcMar>
            <w:vAlign w:val="center"/>
            <w:shd w:fill="FFFFFF" w:val="cle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40" w:line="240" w:lineRule="auto" w:before="0"/>
            </w:pPr>
            <w:r>
              <w:rPr>
                <w:rFonts w:ascii="Times New Roman" w:hAnsi="Times New Roman" w:eastAsia="Times New Roman" w:cs="Times New Roman"/>
                <w:b w:val="0"/>
                <w:i w:val="0"/>
                <w:color w:val="000000"/>
                <w:sz w:val="19"/>
              </w:rPr>
              <w:t>$7,500 per month, beginning September 1, 2026 after a signed non-binding framework and formal implementation launch, with the payment obligation documented in a narrow binding implementation provision or letter.</w:t>
            </w:r>
          </w:p>
        </w:tc>
      </w:tr>
      <w:tr>
        <w:trPr>
          <w:cantSplit w:val="true"/>
          <w:cantSplit/>
        </w:trPr>
        <w:tc>
          <w:tcPr>
            <w:tcW w:type="dxa" w:w="2380"/>
            <w:tcMar>
              <w:top w:w="90" w:type="dxa"/>
              <w:start w:w="100" w:type="dxa"/>
              <w:bottom w:w="90" w:type="dxa"/>
              <w:end w:w="100" w:type="dxa"/>
            </w:tcMar>
            <w:vAlign w:val="center"/>
            <w:shd w:fill="FFFFFF" w:val="cle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40" w:line="240" w:lineRule="auto" w:before="0"/>
            </w:pPr>
            <w:r>
              <w:rPr>
                <w:rFonts w:ascii="Times New Roman" w:hAnsi="Times New Roman" w:eastAsia="Times New Roman" w:cs="Times New Roman"/>
                <w:b w:val="0"/>
                <w:i w:val="0"/>
                <w:color w:val="000000"/>
                <w:sz w:val="19"/>
              </w:rPr>
              <w:t>Direct costs</w:t>
            </w:r>
          </w:p>
        </w:tc>
        <w:tc>
          <w:tcPr>
            <w:tcW w:type="dxa" w:w="6980"/>
            <w:tcMar>
              <w:top w:w="90" w:type="dxa"/>
              <w:start w:w="100" w:type="dxa"/>
              <w:bottom w:w="90" w:type="dxa"/>
              <w:end w:w="100" w:type="dxa"/>
            </w:tcMar>
            <w:vAlign w:val="center"/>
            <w:shd w:fill="FFFFFF" w:val="cle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40" w:line="240" w:lineRule="auto" w:before="0"/>
            </w:pPr>
            <w:r>
              <w:rPr>
                <w:rFonts w:ascii="Times New Roman" w:hAnsi="Times New Roman" w:eastAsia="Times New Roman" w:cs="Times New Roman"/>
                <w:b w:val="0"/>
                <w:i w:val="0"/>
                <w:color w:val="000000"/>
                <w:sz w:val="19"/>
              </w:rPr>
              <w:t>Tyler-specific direct costs reimbursed at cost, with no markup, subject to documentation and an agreed approval process.</w:t>
            </w:r>
          </w:p>
        </w:tc>
      </w:tr>
      <w:tr>
        <w:trPr>
          <w:cantSplit w:val="true"/>
          <w:cantSplit/>
        </w:trPr>
        <w:tc>
          <w:tcPr>
            <w:tcW w:type="dxa" w:w="2380"/>
            <w:tcMar>
              <w:top w:w="90" w:type="dxa"/>
              <w:start w:w="100" w:type="dxa"/>
              <w:bottom w:w="90" w:type="dxa"/>
              <w:end w:w="100" w:type="dxa"/>
            </w:tcMar>
            <w:vAlign w:val="center"/>
            <w:shd w:fill="FFFFFF" w:val="cle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40" w:line="240" w:lineRule="auto" w:before="0"/>
            </w:pPr>
            <w:r>
              <w:rPr>
                <w:rFonts w:ascii="Times New Roman" w:hAnsi="Times New Roman" w:eastAsia="Times New Roman" w:cs="Times New Roman"/>
                <w:b w:val="0"/>
                <w:i w:val="0"/>
                <w:color w:val="000000"/>
                <w:sz w:val="19"/>
              </w:rPr>
              <w:t>Transition economics</w:t>
            </w:r>
          </w:p>
        </w:tc>
        <w:tc>
          <w:tcPr>
            <w:tcW w:type="dxa" w:w="6980"/>
            <w:tcMar>
              <w:top w:w="90" w:type="dxa"/>
              <w:start w:w="100" w:type="dxa"/>
              <w:bottom w:w="90" w:type="dxa"/>
              <w:end w:w="100" w:type="dxa"/>
            </w:tcMar>
            <w:vAlign w:val="center"/>
            <w:shd w:fill="FFFFFF" w:val="cle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40" w:line="240" w:lineRule="auto" w:before="0"/>
            </w:pPr>
            <w:r>
              <w:rPr>
                <w:rFonts w:ascii="Times New Roman" w:hAnsi="Times New Roman" w:eastAsia="Times New Roman" w:cs="Times New Roman"/>
                <w:b w:val="0"/>
                <w:i w:val="0"/>
                <w:color w:val="000000"/>
                <w:sz w:val="19"/>
              </w:rPr>
              <w:t>Patrick will elect either a $25,000 transition cash payment or a $50,000 convertible note. Note terms remain open.</w:t>
            </w:r>
          </w:p>
        </w:tc>
      </w:tr>
      <w:tr>
        <w:trPr>
          <w:cantSplit w:val="true"/>
          <w:cantSplit/>
        </w:trPr>
        <w:tc>
          <w:tcPr>
            <w:tcW w:type="dxa" w:w="2380"/>
            <w:tcMar>
              <w:top w:w="90" w:type="dxa"/>
              <w:start w:w="100" w:type="dxa"/>
              <w:bottom w:w="90" w:type="dxa"/>
              <w:end w:w="100" w:type="dxa"/>
            </w:tcMar>
            <w:vAlign w:val="center"/>
            <w:shd w:fill="FFFFFF" w:val="cle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40" w:line="240" w:lineRule="auto" w:before="0"/>
            </w:pPr>
            <w:r>
              <w:rPr>
                <w:rFonts w:ascii="Times New Roman" w:hAnsi="Times New Roman" w:eastAsia="Times New Roman" w:cs="Times New Roman"/>
                <w:b w:val="0"/>
                <w:i w:val="0"/>
                <w:color w:val="000000"/>
                <w:sz w:val="19"/>
              </w:rPr>
              <w:t>Term</w:t>
            </w:r>
          </w:p>
        </w:tc>
        <w:tc>
          <w:tcPr>
            <w:tcW w:type="dxa" w:w="6980"/>
            <w:tcMar>
              <w:top w:w="90" w:type="dxa"/>
              <w:start w:w="100" w:type="dxa"/>
              <w:bottom w:w="90" w:type="dxa"/>
              <w:end w:w="100" w:type="dxa"/>
            </w:tcMar>
            <w:vAlign w:val="center"/>
            <w:shd w:fill="FFFFFF" w:val="cle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40" w:line="240" w:lineRule="auto" w:before="0"/>
            </w:pPr>
            <w:r>
              <w:rPr>
                <w:rFonts w:ascii="Times New Roman" w:hAnsi="Times New Roman" w:eastAsia="Times New Roman" w:cs="Times New Roman"/>
                <w:b w:val="0"/>
                <w:i w:val="0"/>
                <w:color w:val="000000"/>
                <w:sz w:val="19"/>
              </w:rPr>
              <w:t>12-month initial operating bridge; one additional 12-month extension only by mutual written agreement.</w:t>
            </w:r>
          </w:p>
        </w:tc>
      </w:tr>
      <w:tr>
        <w:tc>
          <w:tcPr>
            <w:tcW w:type="dxa" w:w="2380"/>
          </w:tcPr>
          <w:p>
            <w:r>
              <w:rPr>
                <w:rFonts w:ascii="Times New Roman" w:hAnsi="Times New Roman"/>
                <w:b w:val="0"/>
                <w:color w:val="000000"/>
                <w:sz w:val="19"/>
              </w:rPr>
              <w:t>Tyler ADS address</w:t>
            </w:r>
          </w:p>
        </w:tc>
        <w:tc>
          <w:tcPr>
            <w:tcW w:type="dxa" w:w="6980"/>
          </w:tcPr>
          <w:p>
            <w:r>
              <w:rPr>
                <w:rFonts w:ascii="Times New Roman" w:hAnsi="Times New Roman"/>
                <w:b w:val="0"/>
                <w:color w:val="000000"/>
                <w:sz w:val="19"/>
              </w:rPr>
              <w:t>13387 North Highway 69, Tyler, Texas.</w:t>
            </w:r>
          </w:p>
        </w:tc>
      </w:tr>
    </w:tbl>
    <w:p>
      <w:pPr>
        <w:spacing w:after="0" w:before="0" w:line="252" w:lineRule="auto"/>
      </w:pPr>
    </w:p>
    <w:p>
      <w:pPr>
        <w:pStyle w:val="Heading1"/>
        <w:pageBreakBefore/>
        <w:spacing w:line="252" w:lineRule="auto"/>
      </w:pPr>
      <w:r>
        <w:rPr>
          <w:rFonts w:ascii="Times New Roman" w:hAnsi="Times New Roman" w:eastAsia="Times New Roman" w:cs="Times New Roman"/>
          <w:b/>
          <w:color w:val="000000"/>
          <w:sz w:val="24"/>
        </w:rPr>
        <w:t>3. Proposed funding and cash-control mechanics</w:t>
      </w:r>
    </w:p>
    <w:p>
      <w:pPr>
        <w:keepLines/>
        <w:spacing w:after="120" w:line="252" w:lineRule="auto"/>
      </w:pPr>
      <w:r>
        <w:rPr>
          <w:rFonts w:ascii="Times New Roman" w:hAnsi="Times New Roman" w:eastAsia="Times New Roman" w:cs="Times New Roman"/>
          <w:b/>
          <w:i w:val="0"/>
          <w:color w:val="000000"/>
          <w:sz w:val="21"/>
        </w:rPr>
        <w:t xml:space="preserve">Payer receipts. </w:t>
      </w:r>
      <w:r>
        <w:rPr>
          <w:rFonts w:ascii="Times New Roman" w:hAnsi="Times New Roman" w:eastAsia="Times New Roman" w:cs="Times New Roman"/>
          <w:b w:val="0"/>
          <w:i w:val="0"/>
          <w:color w:val="000000"/>
          <w:sz w:val="21"/>
        </w:rPr>
        <w:t>Profound controls the payer-deposit account and remains the recipient of collections associated with services billed by Profound. Azalea receives agreed reporting and inspection rights, not unilateral control over Profound's bank account.</w:t>
      </w:r>
    </w:p>
    <w:p>
      <w:pPr>
        <w:keepLines/>
        <w:spacing w:after="120" w:line="252" w:lineRule="auto"/>
      </w:pPr>
      <w:r>
        <w:rPr>
          <w:rFonts w:ascii="Times New Roman" w:hAnsi="Times New Roman" w:eastAsia="Times New Roman" w:cs="Times New Roman"/>
          <w:b/>
          <w:i w:val="0"/>
          <w:color w:val="000000"/>
          <w:sz w:val="21"/>
        </w:rPr>
        <w:t xml:space="preserve">Tyler accounting. </w:t>
      </w:r>
      <w:r>
        <w:rPr>
          <w:rFonts w:ascii="Times New Roman" w:hAnsi="Times New Roman" w:eastAsia="Times New Roman" w:cs="Times New Roman"/>
          <w:b w:val="0"/>
          <w:i w:val="0"/>
          <w:color w:val="000000"/>
          <w:sz w:val="21"/>
        </w:rPr>
        <w:t>Profound establishes a separate Tyler location, department, cost center, or subledger sufficient to isolate revenue, cash receipts, payroll, vendors, reserves, advances, and liabilities from its existing operations.</w:t>
      </w:r>
    </w:p>
    <w:p>
      <w:pPr>
        <w:keepLines/>
        <w:spacing w:after="120" w:line="252" w:lineRule="auto"/>
      </w:pPr>
      <w:r>
        <w:rPr>
          <w:rFonts w:ascii="Times New Roman" w:hAnsi="Times New Roman" w:eastAsia="Times New Roman" w:cs="Times New Roman"/>
          <w:b/>
          <w:i w:val="0"/>
          <w:color w:val="000000"/>
          <w:sz w:val="21"/>
        </w:rPr>
        <w:t xml:space="preserve">Working-capital prefunding. </w:t>
      </w:r>
      <w:r>
        <w:rPr>
          <w:rFonts w:ascii="Times New Roman" w:hAnsi="Times New Roman" w:eastAsia="Times New Roman" w:cs="Times New Roman"/>
          <w:b w:val="0"/>
          <w:i w:val="0"/>
          <w:color w:val="000000"/>
          <w:sz w:val="21"/>
        </w:rPr>
        <w:t>Azalea prefunds Tyler payroll and other approved Tyler obligations on a schedule established before the expense becomes due. Profound is not expected to finance Tyler operations from its legacy cash.</w:t>
      </w:r>
    </w:p>
    <w:p>
      <w:pPr>
        <w:keepLines/>
        <w:spacing w:after="120" w:line="252" w:lineRule="auto"/>
      </w:pPr>
      <w:r>
        <w:rPr>
          <w:rFonts w:ascii="Times New Roman" w:hAnsi="Times New Roman" w:eastAsia="Times New Roman" w:cs="Times New Roman"/>
          <w:b/>
          <w:i w:val="0"/>
          <w:color w:val="000000"/>
          <w:sz w:val="21"/>
        </w:rPr>
        <w:t xml:space="preserve">Reimbursement and waterfall. </w:t>
      </w:r>
      <w:r>
        <w:rPr>
          <w:rFonts w:ascii="Times New Roman" w:hAnsi="Times New Roman" w:eastAsia="Times New Roman" w:cs="Times New Roman"/>
          <w:b w:val="0"/>
          <w:i w:val="0"/>
          <w:color w:val="000000"/>
          <w:sz w:val="21"/>
        </w:rPr>
        <w:t>Definitive documents should state the order in which Tyler receipts fund patient-specific costs, payroll and employment taxes, required reserves, approved direct costs, the monthly Profound fee, repayment of documented Azalea advances, and any distributable residual.</w:t>
      </w:r>
    </w:p>
    <w:p>
      <w:pPr>
        <w:keepLines/>
        <w:spacing w:after="120" w:line="252" w:lineRule="auto"/>
      </w:pPr>
      <w:r>
        <w:rPr>
          <w:rFonts w:ascii="Times New Roman" w:hAnsi="Times New Roman" w:eastAsia="Times New Roman" w:cs="Times New Roman"/>
          <w:b/>
          <w:i w:val="0"/>
          <w:color w:val="000000"/>
          <w:sz w:val="21"/>
        </w:rPr>
        <w:t xml:space="preserve">Reconciliation. </w:t>
      </w:r>
      <w:r>
        <w:rPr>
          <w:rFonts w:ascii="Times New Roman" w:hAnsi="Times New Roman" w:eastAsia="Times New Roman" w:cs="Times New Roman"/>
          <w:b w:val="0"/>
          <w:i w:val="0"/>
          <w:color w:val="000000"/>
          <w:sz w:val="21"/>
        </w:rPr>
        <w:t>The parties complete a monthly close, supporting-document review, and true-up. Material discrepancies are carried as identified reconciling items with a named owner and resolution date rather than netted informally.</w:t>
      </w:r>
    </w:p>
    <w:p>
      <w:pPr>
        <w:pStyle w:val="Heading1"/>
        <w:spacing w:line="252" w:lineRule="auto"/>
      </w:pPr>
      <w:r>
        <w:rPr>
          <w:rFonts w:ascii="Times New Roman" w:hAnsi="Times New Roman" w:eastAsia="Times New Roman" w:cs="Times New Roman"/>
          <w:b/>
          <w:color w:val="000000"/>
          <w:sz w:val="24"/>
        </w:rPr>
        <w:t>4. Employment and payroll control</w:t>
      </w:r>
    </w:p>
    <w:p>
      <w:pPr>
        <w:spacing w:line="252" w:lineRule="auto"/>
      </w:pPr>
      <w:r>
        <w:rPr>
          <w:rFonts w:ascii="Times New Roman" w:hAnsi="Times New Roman" w:eastAsia="Times New Roman" w:cs="Times New Roman"/>
          <w:color w:val="000000"/>
          <w:sz w:val="21"/>
        </w:rPr>
        <w:t>The recommended base case is for Profound to be the W-2 employer of the core Tyler clinical workforce during the bridge, with Azalea prefunding payroll, taxes, benefits, and approved employment costs. Azalea may separately employ nonclinical management, marketing, finance, and development personnel whose roles are properly outside Profound's required clinical employment and provider-control structure.</w:t>
      </w:r>
    </w:p>
    <w:p>
      <w:pPr>
        <w:spacing w:line="252" w:lineRule="auto"/>
      </w:pPr>
      <w:r>
        <w:rPr>
          <w:rFonts w:ascii="Times New Roman" w:hAnsi="Times New Roman" w:eastAsia="Times New Roman" w:cs="Times New Roman"/>
          <w:color w:val="000000"/>
          <w:sz w:val="21"/>
        </w:rPr>
        <w:t>One payroll provider or designated payroll agent should be the authoritative federal and state payroll-tax filer under Profound's EIN. A separate Gusto instance is acceptable only if Profound's payroll advisor confirms that the configuration will not create duplicate or inconsistent Form 941, W-2, state unemployment, or benefit filings. Tyler should remain separately reportable even if it is processed within Profound's existing payroll platform.</w:t>
      </w:r>
    </w:p>
    <w:p>
      <w:pPr>
        <w:pStyle w:val="Heading1"/>
        <w:spacing w:line="252" w:lineRule="auto"/>
      </w:pPr>
      <w:r>
        <w:rPr>
          <w:rFonts w:ascii="Times New Roman" w:hAnsi="Times New Roman" w:eastAsia="Times New Roman" w:cs="Times New Roman"/>
          <w:b/>
          <w:color w:val="000000"/>
          <w:sz w:val="24"/>
        </w:rPr>
        <w:t>5. Financial reporting and transparency</w:t>
      </w:r>
    </w:p>
    <w:p>
      <w:pPr>
        <w:spacing w:line="252" w:lineRule="auto"/>
      </w:pPr>
      <w:r>
        <w:rPr>
          <w:rFonts w:ascii="Times New Roman" w:hAnsi="Times New Roman" w:eastAsia="Times New Roman" w:cs="Times New Roman"/>
          <w:color w:val="000000"/>
          <w:sz w:val="21"/>
        </w:rPr>
        <w:t>The recommended monthly package should be delivered within 10 business days after month-end and include:</w:t>
      </w:r>
    </w:p>
    <w:tbl>
      <w:tblPr>
        <w:tblStyle w:val="TableGrid"/>
        <w:tblW w:type="dxa" w:w="9360"/>
        <w:tblLayout w:type="fixed"/>
        <w:tblLook w:firstColumn="1" w:firstRow="1" w:lastColumn="0" w:lastRow="0" w:noHBand="0" w:noVBand="1" w:val="04A0"/>
        <w:tblInd w:w="120" w:type="dxa"/>
      </w:tblPr>
      <w:tblGrid>
        <w:gridCol w:w="2650"/>
        <w:gridCol w:w="6710"/>
      </w:tblGrid>
      <w:tr>
        <w:trPr>
          <w:tblHeader w:val="true"/>
          <w:cantSplit w:val="true"/>
          <w:tblHeader w:val="true"/>
          <w:cantSplit/>
        </w:trPr>
        <w:tc>
          <w:tcPr>
            <w:tcW w:type="dxa" w:w="2650"/>
            <w:shd w:fill="FFFFFF" w:val="clear"/>
            <w:tcMar>
              <w:top w:w="90" w:type="dxa"/>
              <w:start w:w="100" w:type="dxa"/>
              <w:bottom w:w="90" w:type="dxa"/>
              <w:end w:w="100" w:type="dxa"/>
            </w:tcMar>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40" w:line="240" w:lineRule="auto" w:before="0"/>
            </w:pPr>
            <w:r>
              <w:rPr>
                <w:rFonts w:ascii="Times New Roman" w:hAnsi="Times New Roman" w:eastAsia="Times New Roman" w:cs="Times New Roman"/>
                <w:b/>
                <w:i w:val="0"/>
                <w:color w:val="000000"/>
                <w:sz w:val="19"/>
              </w:rPr>
              <w:t>Report</w:t>
            </w:r>
          </w:p>
        </w:tc>
        <w:tc>
          <w:tcPr>
            <w:tcW w:type="dxa" w:w="6710"/>
            <w:shd w:fill="FFFFFF" w:val="clear"/>
            <w:tcMar>
              <w:top w:w="90" w:type="dxa"/>
              <w:start w:w="100" w:type="dxa"/>
              <w:bottom w:w="90" w:type="dxa"/>
              <w:end w:w="100" w:type="dxa"/>
            </w:tcMar>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40" w:line="240" w:lineRule="auto" w:before="0"/>
            </w:pPr>
            <w:r>
              <w:rPr>
                <w:rFonts w:ascii="Times New Roman" w:hAnsi="Times New Roman" w:eastAsia="Times New Roman" w:cs="Times New Roman"/>
                <w:b/>
                <w:i w:val="0"/>
                <w:color w:val="000000"/>
                <w:sz w:val="19"/>
              </w:rPr>
              <w:t>Minimum content</w:t>
            </w:r>
          </w:p>
        </w:tc>
      </w:tr>
      <w:tr>
        <w:trPr>
          <w:cantSplit w:val="true"/>
          <w:cantSplit/>
        </w:trPr>
        <w:tc>
          <w:tcPr>
            <w:tcW w:type="dxa" w:w="2650"/>
            <w:tcMar>
              <w:top w:w="90" w:type="dxa"/>
              <w:start w:w="100" w:type="dxa"/>
              <w:bottom w:w="90" w:type="dxa"/>
              <w:end w:w="100" w:type="dxa"/>
            </w:tcMar>
            <w:vAlign w:val="center"/>
            <w:shd w:fill="FFFFFF" w:val="cle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40" w:line="240" w:lineRule="auto" w:before="0"/>
            </w:pPr>
            <w:r>
              <w:rPr>
                <w:rFonts w:ascii="Times New Roman" w:hAnsi="Times New Roman" w:eastAsia="Times New Roman" w:cs="Times New Roman"/>
                <w:b w:val="0"/>
                <w:i w:val="0"/>
                <w:color w:val="000000"/>
                <w:sz w:val="19"/>
              </w:rPr>
              <w:t>Tyler operating statement</w:t>
            </w:r>
          </w:p>
        </w:tc>
        <w:tc>
          <w:tcPr>
            <w:tcW w:type="dxa" w:w="6710"/>
            <w:tcMar>
              <w:top w:w="90" w:type="dxa"/>
              <w:start w:w="100" w:type="dxa"/>
              <w:bottom w:w="90" w:type="dxa"/>
              <w:end w:w="100" w:type="dxa"/>
            </w:tcMar>
            <w:vAlign w:val="center"/>
            <w:shd w:fill="FFFFFF" w:val="cle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40" w:line="240" w:lineRule="auto" w:before="0"/>
            </w:pPr>
            <w:r>
              <w:rPr>
                <w:rFonts w:ascii="Times New Roman" w:hAnsi="Times New Roman" w:eastAsia="Times New Roman" w:cs="Times New Roman"/>
                <w:b w:val="0"/>
                <w:i w:val="0"/>
                <w:color w:val="000000"/>
                <w:sz w:val="19"/>
              </w:rPr>
              <w:t>Accrual and cash views; current month; year to date; budget variance; direct costs; Profound fees; approved allocations.</w:t>
            </w:r>
          </w:p>
        </w:tc>
      </w:tr>
      <w:tr>
        <w:trPr>
          <w:cantSplit w:val="true"/>
          <w:cantSplit/>
        </w:trPr>
        <w:tc>
          <w:tcPr>
            <w:tcW w:type="dxa" w:w="2650"/>
            <w:tcMar>
              <w:top w:w="90" w:type="dxa"/>
              <w:start w:w="100" w:type="dxa"/>
              <w:bottom w:w="90" w:type="dxa"/>
              <w:end w:w="100" w:type="dxa"/>
            </w:tcMar>
            <w:vAlign w:val="center"/>
            <w:shd w:fill="FFFFFF" w:val="cle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40" w:line="240" w:lineRule="auto" w:before="0"/>
            </w:pPr>
            <w:r>
              <w:rPr>
                <w:rFonts w:ascii="Times New Roman" w:hAnsi="Times New Roman" w:eastAsia="Times New Roman" w:cs="Times New Roman"/>
                <w:b w:val="0"/>
                <w:i w:val="0"/>
                <w:color w:val="000000"/>
                <w:sz w:val="19"/>
              </w:rPr>
              <w:t>Claims and receivables</w:t>
            </w:r>
          </w:p>
        </w:tc>
        <w:tc>
          <w:tcPr>
            <w:tcW w:type="dxa" w:w="6710"/>
            <w:tcMar>
              <w:top w:w="90" w:type="dxa"/>
              <w:start w:w="100" w:type="dxa"/>
              <w:bottom w:w="90" w:type="dxa"/>
              <w:end w:w="100" w:type="dxa"/>
            </w:tcMar>
            <w:vAlign w:val="center"/>
            <w:shd w:fill="FFFFFF" w:val="cle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40" w:line="240" w:lineRule="auto" w:before="0"/>
            </w:pPr>
            <w:r>
              <w:rPr>
                <w:rFonts w:ascii="Times New Roman" w:hAnsi="Times New Roman" w:eastAsia="Times New Roman" w:cs="Times New Roman"/>
                <w:b w:val="0"/>
                <w:i w:val="0"/>
                <w:color w:val="000000"/>
                <w:sz w:val="19"/>
              </w:rPr>
              <w:t>Patient-level or claim-level billed charges, status, denials, ADRs, unapplied cash, aging, adjustments, and expected collection dates.</w:t>
            </w:r>
          </w:p>
        </w:tc>
      </w:tr>
      <w:tr>
        <w:trPr>
          <w:cantSplit w:val="true"/>
          <w:cantSplit/>
        </w:trPr>
        <w:tc>
          <w:tcPr>
            <w:tcW w:type="dxa" w:w="2650"/>
            <w:tcMar>
              <w:top w:w="90" w:type="dxa"/>
              <w:start w:w="100" w:type="dxa"/>
              <w:bottom w:w="90" w:type="dxa"/>
              <w:end w:w="100" w:type="dxa"/>
            </w:tcMar>
            <w:vAlign w:val="center"/>
            <w:shd w:fill="FFFFFF" w:val="cle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40" w:line="240" w:lineRule="auto" w:before="0"/>
            </w:pPr>
            <w:r>
              <w:rPr>
                <w:rFonts w:ascii="Times New Roman" w:hAnsi="Times New Roman" w:eastAsia="Times New Roman" w:cs="Times New Roman"/>
                <w:b w:val="0"/>
                <w:i w:val="0"/>
                <w:color w:val="000000"/>
                <w:sz w:val="19"/>
              </w:rPr>
              <w:t>Collections and bank activity</w:t>
            </w:r>
          </w:p>
        </w:tc>
        <w:tc>
          <w:tcPr>
            <w:tcW w:type="dxa" w:w="6710"/>
            <w:tcMar>
              <w:top w:w="90" w:type="dxa"/>
              <w:start w:w="100" w:type="dxa"/>
              <w:bottom w:w="90" w:type="dxa"/>
              <w:end w:w="100" w:type="dxa"/>
            </w:tcMar>
            <w:vAlign w:val="center"/>
            <w:shd w:fill="FFFFFF" w:val="cle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40" w:line="240" w:lineRule="auto" w:before="0"/>
            </w:pPr>
            <w:r>
              <w:rPr>
                <w:rFonts w:ascii="Times New Roman" w:hAnsi="Times New Roman" w:eastAsia="Times New Roman" w:cs="Times New Roman"/>
                <w:b w:val="0"/>
                <w:i w:val="0"/>
                <w:color w:val="000000"/>
                <w:sz w:val="19"/>
              </w:rPr>
              <w:t>Deposit detail, ERA/EFT tie-out, bank reconciliation, and Tyler receipts traced to the subledger.</w:t>
            </w:r>
          </w:p>
        </w:tc>
      </w:tr>
      <w:tr>
        <w:trPr>
          <w:cantSplit w:val="true"/>
          <w:cantSplit/>
        </w:trPr>
        <w:tc>
          <w:tcPr>
            <w:tcW w:type="dxa" w:w="2650"/>
            <w:tcMar>
              <w:top w:w="90" w:type="dxa"/>
              <w:start w:w="100" w:type="dxa"/>
              <w:bottom w:w="90" w:type="dxa"/>
              <w:end w:w="100" w:type="dxa"/>
            </w:tcMar>
            <w:vAlign w:val="center"/>
            <w:shd w:fill="FFFFFF" w:val="cle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40" w:line="240" w:lineRule="auto" w:before="0"/>
            </w:pPr>
            <w:r>
              <w:rPr>
                <w:rFonts w:ascii="Times New Roman" w:hAnsi="Times New Roman" w:eastAsia="Times New Roman" w:cs="Times New Roman"/>
                <w:b w:val="0"/>
                <w:i w:val="0"/>
                <w:color w:val="000000"/>
                <w:sz w:val="19"/>
              </w:rPr>
              <w:t>Payroll</w:t>
            </w:r>
          </w:p>
        </w:tc>
        <w:tc>
          <w:tcPr>
            <w:tcW w:type="dxa" w:w="6710"/>
            <w:tcMar>
              <w:top w:w="90" w:type="dxa"/>
              <w:start w:w="100" w:type="dxa"/>
              <w:bottom w:w="90" w:type="dxa"/>
              <w:end w:w="100" w:type="dxa"/>
            </w:tcMar>
            <w:vAlign w:val="center"/>
            <w:shd w:fill="FFFFFF" w:val="cle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40" w:line="240" w:lineRule="auto" w:before="0"/>
            </w:pPr>
            <w:r>
              <w:rPr>
                <w:rFonts w:ascii="Times New Roman" w:hAnsi="Times New Roman" w:eastAsia="Times New Roman" w:cs="Times New Roman"/>
                <w:b w:val="0"/>
                <w:i w:val="0"/>
                <w:color w:val="000000"/>
                <w:sz w:val="19"/>
              </w:rPr>
              <w:t>Gross wages, taxes, benefits, paid-time-off accruals, workers' compensation, funding date, and prefunding true-up.</w:t>
            </w:r>
          </w:p>
        </w:tc>
      </w:tr>
      <w:tr>
        <w:trPr>
          <w:cantSplit w:val="true"/>
          <w:cantSplit/>
        </w:trPr>
        <w:tc>
          <w:tcPr>
            <w:tcW w:type="dxa" w:w="2650"/>
            <w:tcMar>
              <w:top w:w="90" w:type="dxa"/>
              <w:start w:w="100" w:type="dxa"/>
              <w:bottom w:w="90" w:type="dxa"/>
              <w:end w:w="100" w:type="dxa"/>
            </w:tcMar>
            <w:vAlign w:val="center"/>
            <w:shd w:fill="FFFFFF" w:val="cle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40" w:line="240" w:lineRule="auto" w:before="0"/>
            </w:pPr>
            <w:r>
              <w:rPr>
                <w:rFonts w:ascii="Times New Roman" w:hAnsi="Times New Roman" w:eastAsia="Times New Roman" w:cs="Times New Roman"/>
                <w:b w:val="0"/>
                <w:i w:val="0"/>
                <w:color w:val="000000"/>
                <w:sz w:val="19"/>
              </w:rPr>
              <w:t>Vendor and patient costs</w:t>
            </w:r>
          </w:p>
        </w:tc>
        <w:tc>
          <w:tcPr>
            <w:tcW w:type="dxa" w:w="6710"/>
            <w:tcMar>
              <w:top w:w="90" w:type="dxa"/>
              <w:start w:w="100" w:type="dxa"/>
              <w:bottom w:w="90" w:type="dxa"/>
              <w:end w:w="100" w:type="dxa"/>
            </w:tcMar>
            <w:vAlign w:val="center"/>
            <w:shd w:fill="FFFFFF" w:val="cle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40" w:line="240" w:lineRule="auto" w:before="0"/>
            </w:pPr>
            <w:r>
              <w:rPr>
                <w:rFonts w:ascii="Times New Roman" w:hAnsi="Times New Roman" w:eastAsia="Times New Roman" w:cs="Times New Roman"/>
                <w:b w:val="0"/>
                <w:i w:val="0"/>
                <w:color w:val="000000"/>
                <w:sz w:val="19"/>
              </w:rPr>
              <w:t>Invoice-level pharmacy, DME, facility, supplies, laboratory, and other approved costs, including credits and disputes.</w:t>
            </w:r>
          </w:p>
        </w:tc>
      </w:tr>
      <w:tr>
        <w:trPr>
          <w:cantSplit w:val="true"/>
          <w:cantSplit/>
        </w:trPr>
        <w:tc>
          <w:tcPr>
            <w:tcW w:type="dxa" w:w="2650"/>
            <w:tcMar>
              <w:top w:w="90" w:type="dxa"/>
              <w:start w:w="100" w:type="dxa"/>
              <w:bottom w:w="90" w:type="dxa"/>
              <w:end w:w="100" w:type="dxa"/>
            </w:tcMar>
            <w:vAlign w:val="center"/>
            <w:shd w:fill="FFFFFF" w:val="cle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40" w:line="240" w:lineRule="auto" w:before="0"/>
            </w:pPr>
            <w:r>
              <w:rPr>
                <w:rFonts w:ascii="Times New Roman" w:hAnsi="Times New Roman" w:eastAsia="Times New Roman" w:cs="Times New Roman"/>
                <w:b w:val="0"/>
                <w:i w:val="0"/>
                <w:color w:val="000000"/>
                <w:sz w:val="19"/>
              </w:rPr>
              <w:t>Reserves and exposures</w:t>
            </w:r>
          </w:p>
        </w:tc>
        <w:tc>
          <w:tcPr>
            <w:tcW w:type="dxa" w:w="6710"/>
            <w:tcMar>
              <w:top w:w="90" w:type="dxa"/>
              <w:start w:w="100" w:type="dxa"/>
              <w:bottom w:w="90" w:type="dxa"/>
              <w:end w:w="100" w:type="dxa"/>
            </w:tcMar>
            <w:vAlign w:val="center"/>
            <w:shd w:fill="FFFFFF" w:val="cle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40" w:line="240" w:lineRule="auto" w:before="0"/>
            </w:pPr>
            <w:r>
              <w:rPr>
                <w:rFonts w:ascii="Times New Roman" w:hAnsi="Times New Roman" w:eastAsia="Times New Roman" w:cs="Times New Roman"/>
                <w:b w:val="0"/>
                <w:i w:val="0"/>
                <w:color w:val="000000"/>
                <w:sz w:val="19"/>
              </w:rPr>
              <w:t>Overpayment, claims, hospice cap, employment, insurance deductible, and open audit or legal exposures.</w:t>
            </w:r>
          </w:p>
        </w:tc>
      </w:tr>
      <w:tr>
        <w:trPr>
          <w:cantSplit w:val="true"/>
          <w:cantSplit/>
        </w:trPr>
        <w:tc>
          <w:tcPr>
            <w:tcW w:type="dxa" w:w="2650"/>
            <w:tcMar>
              <w:top w:w="90" w:type="dxa"/>
              <w:start w:w="100" w:type="dxa"/>
              <w:bottom w:w="90" w:type="dxa"/>
              <w:end w:w="100" w:type="dxa"/>
            </w:tcMar>
            <w:vAlign w:val="center"/>
            <w:shd w:fill="FFFFFF" w:val="cle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40" w:line="240" w:lineRule="auto" w:before="0"/>
            </w:pPr>
            <w:r>
              <w:rPr>
                <w:rFonts w:ascii="Times New Roman" w:hAnsi="Times New Roman" w:eastAsia="Times New Roman" w:cs="Times New Roman"/>
                <w:b w:val="0"/>
                <w:i w:val="0"/>
                <w:color w:val="000000"/>
                <w:sz w:val="19"/>
              </w:rPr>
              <w:t>Settlement statement</w:t>
            </w:r>
          </w:p>
        </w:tc>
        <w:tc>
          <w:tcPr>
            <w:tcW w:type="dxa" w:w="6710"/>
            <w:tcMar>
              <w:top w:w="90" w:type="dxa"/>
              <w:start w:w="100" w:type="dxa"/>
              <w:bottom w:w="90" w:type="dxa"/>
              <w:end w:w="100" w:type="dxa"/>
            </w:tcMar>
            <w:vAlign w:val="center"/>
            <w:shd w:fill="FFFFFF" w:val="cle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40" w:line="240" w:lineRule="auto" w:before="0"/>
            </w:pPr>
            <w:r>
              <w:rPr>
                <w:rFonts w:ascii="Times New Roman" w:hAnsi="Times New Roman" w:eastAsia="Times New Roman" w:cs="Times New Roman"/>
                <w:b w:val="0"/>
                <w:i w:val="0"/>
                <w:color w:val="000000"/>
                <w:sz w:val="19"/>
              </w:rPr>
              <w:t>Beginning balance, Azalea advances, Profound fees, reimbursements, reserve movements, cash available, and amount due to either party.</w:t>
            </w:r>
          </w:p>
        </w:tc>
      </w:tr>
    </w:tbl>
    <w:p>
      <w:pPr>
        <w:spacing w:after="0" w:before="0" w:line="252" w:lineRule="auto"/>
      </w:pPr>
    </w:p>
    <w:p>
      <w:pPr>
        <w:pStyle w:val="Heading1"/>
        <w:spacing w:line="252" w:lineRule="auto"/>
      </w:pPr>
      <w:r>
        <w:rPr>
          <w:rFonts w:ascii="Times New Roman" w:hAnsi="Times New Roman" w:eastAsia="Times New Roman" w:cs="Times New Roman"/>
          <w:b/>
          <w:color w:val="000000"/>
          <w:sz w:val="24"/>
        </w:rPr>
        <w:t>6. Risk allocation, reserves, and protection</w:t>
      </w:r>
    </w:p>
    <w:p>
      <w:pPr>
        <w:keepLines/>
        <w:spacing w:after="120" w:line="252" w:lineRule="auto"/>
      </w:pPr>
      <w:r>
        <w:rPr>
          <w:rFonts w:ascii="Times New Roman" w:hAnsi="Times New Roman" w:eastAsia="Times New Roman" w:cs="Times New Roman"/>
          <w:b/>
          <w:i w:val="0"/>
          <w:color w:val="000000"/>
          <w:sz w:val="21"/>
        </w:rPr>
        <w:t xml:space="preserve">Insurance. </w:t>
      </w:r>
      <w:r>
        <w:rPr>
          <w:rFonts w:ascii="Times New Roman" w:hAnsi="Times New Roman" w:eastAsia="Times New Roman" w:cs="Times New Roman"/>
          <w:b w:val="0"/>
          <w:i w:val="0"/>
          <w:color w:val="000000"/>
          <w:sz w:val="21"/>
        </w:rPr>
        <w:t>Before launch, the parties should confirm professional liability, general liability, employment practices, cyber/privacy, workers' compensation, and any tail or extended-reporting requirements, including which entity is named insured or additional insured.</w:t>
      </w:r>
    </w:p>
    <w:p>
      <w:pPr>
        <w:keepLines/>
        <w:spacing w:after="120" w:line="252" w:lineRule="auto"/>
      </w:pPr>
      <w:r>
        <w:rPr>
          <w:rFonts w:ascii="Times New Roman" w:hAnsi="Times New Roman" w:eastAsia="Times New Roman" w:cs="Times New Roman"/>
          <w:b/>
          <w:i w:val="0"/>
          <w:color w:val="000000"/>
          <w:sz w:val="21"/>
        </w:rPr>
        <w:t xml:space="preserve">Reserves. </w:t>
      </w:r>
      <w:r>
        <w:rPr>
          <w:rFonts w:ascii="Times New Roman" w:hAnsi="Times New Roman" w:eastAsia="Times New Roman" w:cs="Times New Roman"/>
          <w:b w:val="0"/>
          <w:i w:val="0"/>
          <w:color w:val="000000"/>
          <w:sz w:val="21"/>
        </w:rPr>
        <w:t>A written reserve policy should govern claim denials, potential overpayments, ADR and audit exposure, hospice cap exposure, payroll obligations, and vendor disputes. Reserve releases should require documented support and agreed approval authority.</w:t>
      </w:r>
    </w:p>
    <w:p>
      <w:pPr>
        <w:keepLines/>
        <w:spacing w:after="120" w:line="252" w:lineRule="auto"/>
      </w:pPr>
      <w:r>
        <w:rPr>
          <w:rFonts w:ascii="Times New Roman" w:hAnsi="Times New Roman" w:eastAsia="Times New Roman" w:cs="Times New Roman"/>
          <w:b/>
          <w:i w:val="0"/>
          <w:color w:val="000000"/>
          <w:sz w:val="21"/>
        </w:rPr>
        <w:t xml:space="preserve">Indemnification. </w:t>
      </w:r>
      <w:r>
        <w:rPr>
          <w:rFonts w:ascii="Times New Roman" w:hAnsi="Times New Roman" w:eastAsia="Times New Roman" w:cs="Times New Roman"/>
          <w:b w:val="0"/>
          <w:i w:val="0"/>
          <w:color w:val="000000"/>
          <w:sz w:val="21"/>
        </w:rPr>
        <w:t>Definitive agreements should allocate Tyler-attributable liabilities while recognizing that contractual indemnity does not prevent a regulator, payer, employee, patient, or vendor from pursuing the legally responsible entity directly.</w:t>
      </w:r>
    </w:p>
    <w:p>
      <w:pPr>
        <w:keepLines/>
        <w:spacing w:after="120" w:line="252" w:lineRule="auto"/>
      </w:pPr>
      <w:r>
        <w:rPr>
          <w:rFonts w:ascii="Times New Roman" w:hAnsi="Times New Roman" w:eastAsia="Times New Roman" w:cs="Times New Roman"/>
          <w:b/>
          <w:i w:val="0"/>
          <w:color w:val="000000"/>
          <w:sz w:val="21"/>
        </w:rPr>
        <w:t xml:space="preserve">Stop-work protections. </w:t>
      </w:r>
      <w:r>
        <w:rPr>
          <w:rFonts w:ascii="Times New Roman" w:hAnsi="Times New Roman" w:eastAsia="Times New Roman" w:cs="Times New Roman"/>
          <w:b w:val="0"/>
          <w:i w:val="0"/>
          <w:color w:val="000000"/>
          <w:sz w:val="21"/>
        </w:rPr>
        <w:t>Profound should have defined rights to suspend admissions or spending for underfunding, material compliance concerns, patient-safety risk, excluded personnel, or failure to provide required records. Azalea should have notice, cure, reporting, and reconciliation rights where immediate action is not required.</w:t>
      </w:r>
    </w:p>
    <w:p>
      <w:pPr>
        <w:pStyle w:val="Heading1"/>
        <w:spacing w:line="252" w:lineRule="auto"/>
      </w:pPr>
      <w:r>
        <w:rPr>
          <w:rFonts w:ascii="Times New Roman" w:hAnsi="Times New Roman" w:eastAsia="Times New Roman" w:cs="Times New Roman"/>
          <w:b/>
          <w:color w:val="000000"/>
          <w:sz w:val="24"/>
        </w:rPr>
        <w:t>7. Proposed vendors requiring diligence</w:t>
      </w:r>
    </w:p>
    <w:p>
      <w:pPr>
        <w:keepLines/>
        <w:spacing w:after="120" w:line="252" w:lineRule="auto"/>
      </w:pPr>
      <w:r>
        <w:rPr>
          <w:rFonts w:ascii="Times New Roman" w:hAnsi="Times New Roman" w:eastAsia="Times New Roman" w:cs="Times New Roman"/>
          <w:b/>
          <w:i w:val="0"/>
          <w:color w:val="000000"/>
          <w:sz w:val="21"/>
        </w:rPr>
        <w:t xml:space="preserve">FireNote. </w:t>
      </w:r>
      <w:r>
        <w:rPr>
          <w:rFonts w:ascii="Times New Roman" w:hAnsi="Times New Roman" w:eastAsia="Times New Roman" w:cs="Times New Roman"/>
          <w:b w:val="0"/>
          <w:i w:val="0"/>
          <w:color w:val="000000"/>
          <w:sz w:val="21"/>
        </w:rPr>
        <w:t>Azalea proposes FireNote for Tyler clinical documentation and related claims workflows. Before selection, Profound should confirm administrator and audit access, patient segregation, record ownership and retention, claim credentialing, ERA and A/R reporting, cybersecurity, interfaces, data export, business-associate terms, implementation cost, and exit portability.</w:t>
      </w:r>
    </w:p>
    <w:p>
      <w:pPr>
        <w:keepLines/>
        <w:spacing w:after="120" w:line="252" w:lineRule="auto"/>
      </w:pPr>
      <w:r>
        <w:rPr>
          <w:rFonts w:ascii="Times New Roman" w:hAnsi="Times New Roman" w:eastAsia="Times New Roman" w:cs="Times New Roman"/>
          <w:b/>
          <w:i w:val="0"/>
          <w:color w:val="000000"/>
          <w:sz w:val="21"/>
        </w:rPr>
        <w:t xml:space="preserve">DME Express. </w:t>
      </w:r>
      <w:r>
        <w:rPr>
          <w:rFonts w:ascii="Times New Roman" w:hAnsi="Times New Roman" w:eastAsia="Times New Roman" w:cs="Times New Roman"/>
          <w:b w:val="0"/>
          <w:i w:val="0"/>
          <w:color w:val="000000"/>
          <w:sz w:val="21"/>
        </w:rPr>
        <w:t>Azalea currently has a relationship with DME Express and proposes continuity for the Tyler patient cohort. Profound should determine whether it requires its own vendor agreement, assignment, credentialing, ordering controls, insurance documentation, pricing approval, and invoice-level reporting before services are furnished under Profound's provider responsibility.</w:t>
      </w:r>
    </w:p>
    <w:p>
      <w:pPr>
        <w:spacing w:line="252" w:lineRule="auto"/>
      </w:pPr>
      <w:r>
        <w:rPr>
          <w:rFonts w:ascii="Times New Roman" w:hAnsi="Times New Roman" w:eastAsia="Times New Roman" w:cs="Times New Roman"/>
          <w:color w:val="000000"/>
          <w:sz w:val="21"/>
        </w:rPr>
        <w:t>Vendor selection is not a condition of the business concept. The decision should follow operational, clinical, financial, information-security, and legal diligence, with Profound retaining final approval for systems and vendors that affect its provider obligations.</w:t>
      </w:r>
    </w:p>
    <w:p>
      <w:pPr>
        <w:pStyle w:val="Heading1"/>
        <w:pageBreakBefore/>
        <w:spacing w:line="252" w:lineRule="auto"/>
      </w:pPr>
      <w:r>
        <w:rPr>
          <w:rFonts w:ascii="Times New Roman" w:hAnsi="Times New Roman" w:eastAsia="Times New Roman" w:cs="Times New Roman"/>
          <w:b/>
          <w:color w:val="000000"/>
          <w:sz w:val="24"/>
        </w:rPr>
        <w:t>8. Assumptions and open items</w:t>
      </w:r>
    </w:p>
    <w:tbl>
      <w:tblPr>
        <w:tblStyle w:val="TableGrid"/>
        <w:tblW w:type="dxa" w:w="9360"/>
        <w:tblLayout w:type="fixed"/>
        <w:tblLook w:firstColumn="1" w:firstRow="1" w:lastColumn="0" w:lastRow="0" w:noHBand="0" w:noVBand="1" w:val="04A0"/>
        <w:tblInd w:w="120" w:type="dxa"/>
      </w:tblPr>
      <w:tblGrid>
        <w:gridCol w:w="2500"/>
        <w:gridCol w:w="6860"/>
      </w:tblGrid>
      <w:tr>
        <w:trPr>
          <w:tblHeader w:val="true"/>
          <w:cantSplit w:val="true"/>
          <w:tblHeader w:val="true"/>
          <w:cantSplit/>
        </w:trPr>
        <w:tc>
          <w:tcPr>
            <w:tcW w:type="dxa" w:w="2500"/>
            <w:shd w:fill="FFFFFF" w:val="clear"/>
            <w:tcMar>
              <w:top w:w="90" w:type="dxa"/>
              <w:start w:w="100" w:type="dxa"/>
              <w:bottom w:w="90" w:type="dxa"/>
              <w:end w:w="100" w:type="dxa"/>
            </w:tcMar>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40" w:line="240" w:lineRule="auto" w:before="0"/>
            </w:pPr>
            <w:r>
              <w:rPr>
                <w:rFonts w:ascii="Times New Roman" w:hAnsi="Times New Roman" w:eastAsia="Times New Roman" w:cs="Times New Roman"/>
                <w:b/>
                <w:i w:val="0"/>
                <w:color w:val="000000"/>
                <w:sz w:val="19"/>
              </w:rPr>
              <w:t>Item</w:t>
            </w:r>
          </w:p>
        </w:tc>
        <w:tc>
          <w:tcPr>
            <w:tcW w:type="dxa" w:w="6860"/>
            <w:shd w:fill="FFFFFF" w:val="clear"/>
            <w:tcMar>
              <w:top w:w="90" w:type="dxa"/>
              <w:start w:w="100" w:type="dxa"/>
              <w:bottom w:w="90" w:type="dxa"/>
              <w:end w:w="100" w:type="dxa"/>
            </w:tcMar>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40" w:line="240" w:lineRule="auto" w:before="0"/>
            </w:pPr>
            <w:r>
              <w:rPr>
                <w:rFonts w:ascii="Times New Roman" w:hAnsi="Times New Roman" w:eastAsia="Times New Roman" w:cs="Times New Roman"/>
                <w:b/>
                <w:i w:val="0"/>
                <w:color w:val="000000"/>
                <w:sz w:val="19"/>
              </w:rPr>
              <w:t>Current status / decision needed</w:t>
            </w:r>
          </w:p>
        </w:tc>
      </w:tr>
      <w:tr>
        <w:trPr>
          <w:cantSplit w:val="true"/>
          <w:cantSplit/>
        </w:trPr>
        <w:tc>
          <w:tcPr>
            <w:tcW w:type="dxa" w:w="2500"/>
            <w:tcMar>
              <w:top w:w="90" w:type="dxa"/>
              <w:start w:w="100" w:type="dxa"/>
              <w:bottom w:w="90" w:type="dxa"/>
              <w:end w:w="100" w:type="dxa"/>
            </w:tcMar>
            <w:vAlign w:val="center"/>
            <w:shd w:fill="FFFFFF" w:val="cle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40" w:line="240" w:lineRule="auto" w:before="0"/>
            </w:pPr>
            <w:r>
              <w:rPr>
                <w:rFonts w:ascii="Times New Roman" w:hAnsi="Times New Roman" w:eastAsia="Times New Roman" w:cs="Times New Roman"/>
                <w:b w:val="0"/>
                <w:i w:val="0"/>
                <w:color w:val="000000"/>
                <w:sz w:val="19"/>
              </w:rPr>
              <w:t>Financial projections</w:t>
            </w:r>
          </w:p>
        </w:tc>
        <w:tc>
          <w:tcPr>
            <w:tcW w:type="dxa" w:w="6860"/>
            <w:tcMar>
              <w:top w:w="90" w:type="dxa"/>
              <w:start w:w="100" w:type="dxa"/>
              <w:bottom w:w="90" w:type="dxa"/>
              <w:end w:w="100" w:type="dxa"/>
            </w:tcMar>
            <w:vAlign w:val="center"/>
            <w:shd w:fill="FFFFFF" w:val="cle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40" w:line="240" w:lineRule="auto" w:before="0"/>
            </w:pPr>
            <w:r>
              <w:rPr>
                <w:rFonts w:ascii="Times New Roman" w:hAnsi="Times New Roman" w:eastAsia="Times New Roman" w:cs="Times New Roman"/>
                <w:b w:val="0"/>
                <w:i w:val="0"/>
                <w:color w:val="000000"/>
                <w:sz w:val="19"/>
              </w:rPr>
              <w:t>Intentionally excluded from this memo. The parties will work through a mutually accepted operating model before relying on projections.</w:t>
            </w:r>
          </w:p>
        </w:tc>
      </w:tr>
      <w:tr>
        <w:trPr>
          <w:cantSplit w:val="true"/>
          <w:cantSplit/>
        </w:trPr>
        <w:tc>
          <w:tcPr>
            <w:tcW w:type="dxa" w:w="2500"/>
            <w:tcMar>
              <w:top w:w="90" w:type="dxa"/>
              <w:start w:w="100" w:type="dxa"/>
              <w:bottom w:w="90" w:type="dxa"/>
              <w:end w:w="100" w:type="dxa"/>
            </w:tcMar>
            <w:vAlign w:val="center"/>
            <w:shd w:fill="FFFFFF" w:val="cle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40" w:line="240" w:lineRule="auto" w:before="0"/>
            </w:pPr>
            <w:r>
              <w:rPr>
                <w:rFonts w:ascii="Times New Roman" w:hAnsi="Times New Roman" w:eastAsia="Times New Roman" w:cs="Times New Roman"/>
                <w:b w:val="0"/>
                <w:i w:val="0"/>
                <w:color w:val="000000"/>
                <w:sz w:val="19"/>
              </w:rPr>
              <w:t>Convertible note</w:t>
            </w:r>
          </w:p>
        </w:tc>
        <w:tc>
          <w:tcPr>
            <w:tcW w:type="dxa" w:w="6860"/>
            <w:tcMar>
              <w:top w:w="90" w:type="dxa"/>
              <w:start w:w="100" w:type="dxa"/>
              <w:bottom w:w="90" w:type="dxa"/>
              <w:end w:w="100" w:type="dxa"/>
            </w:tcMar>
            <w:vAlign w:val="center"/>
            <w:shd w:fill="FFFFFF" w:val="cle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40" w:line="240" w:lineRule="auto" w:before="0"/>
            </w:pPr>
            <w:r>
              <w:rPr>
                <w:rFonts w:ascii="Times New Roman" w:hAnsi="Times New Roman" w:eastAsia="Times New Roman" w:cs="Times New Roman"/>
                <w:b w:val="0"/>
                <w:i w:val="0"/>
                <w:color w:val="000000"/>
                <w:sz w:val="19"/>
              </w:rPr>
              <w:t>Maturity, interest, conversion trigger, valuation method, ownership cap, dilution treatment, transfer limits, and repayment rights are not yet agreed.</w:t>
            </w:r>
          </w:p>
        </w:tc>
      </w:tr>
      <w:tr>
        <w:trPr>
          <w:cantSplit w:val="true"/>
          <w:cantSplit/>
        </w:trPr>
        <w:tc>
          <w:tcPr>
            <w:tcW w:type="dxa" w:w="2500"/>
            <w:tcMar>
              <w:top w:w="90" w:type="dxa"/>
              <w:start w:w="100" w:type="dxa"/>
              <w:bottom w:w="90" w:type="dxa"/>
              <w:end w:w="100" w:type="dxa"/>
            </w:tcMar>
            <w:vAlign w:val="center"/>
            <w:shd w:fill="FFFFFF" w:val="cle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40" w:line="240" w:lineRule="auto" w:before="0"/>
            </w:pPr>
            <w:r>
              <w:rPr>
                <w:rFonts w:ascii="Times New Roman" w:hAnsi="Times New Roman" w:eastAsia="Times New Roman" w:cs="Times New Roman"/>
                <w:b w:val="0"/>
                <w:i w:val="0"/>
                <w:color w:val="000000"/>
                <w:sz w:val="19"/>
              </w:rPr>
              <w:t>FMV support</w:t>
            </w:r>
          </w:p>
        </w:tc>
        <w:tc>
          <w:tcPr>
            <w:tcW w:type="dxa" w:w="6860"/>
            <w:tcMar>
              <w:top w:w="90" w:type="dxa"/>
              <w:start w:w="100" w:type="dxa"/>
              <w:bottom w:w="90" w:type="dxa"/>
              <w:end w:w="100" w:type="dxa"/>
            </w:tcMar>
            <w:vAlign w:val="center"/>
            <w:shd w:fill="FFFFFF" w:val="cle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40" w:line="240" w:lineRule="auto" w:before="0"/>
            </w:pPr>
            <w:r>
              <w:rPr>
                <w:rFonts w:ascii="Times New Roman" w:hAnsi="Times New Roman" w:eastAsia="Times New Roman" w:cs="Times New Roman"/>
                <w:b w:val="0"/>
                <w:i w:val="0"/>
                <w:color w:val="000000"/>
                <w:sz w:val="19"/>
              </w:rPr>
              <w:t>The $7,500 monthly fee and other consideration should be tested and documented as commercially reasonable and consistent with fair market value.</w:t>
            </w:r>
          </w:p>
        </w:tc>
      </w:tr>
      <w:tr>
        <w:trPr>
          <w:cantSplit w:val="true"/>
          <w:cantSplit/>
        </w:trPr>
        <w:tc>
          <w:tcPr>
            <w:tcW w:type="dxa" w:w="2500"/>
            <w:tcMar>
              <w:top w:w="90" w:type="dxa"/>
              <w:start w:w="100" w:type="dxa"/>
              <w:bottom w:w="90" w:type="dxa"/>
              <w:end w:w="100" w:type="dxa"/>
            </w:tcMar>
            <w:vAlign w:val="center"/>
            <w:shd w:fill="FFFFFF" w:val="cle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40" w:line="240" w:lineRule="auto" w:before="0"/>
            </w:pPr>
            <w:r>
              <w:rPr>
                <w:rFonts w:ascii="Times New Roman" w:hAnsi="Times New Roman" w:eastAsia="Times New Roman" w:cs="Times New Roman"/>
                <w:b w:val="0"/>
                <w:i w:val="0"/>
                <w:color w:val="000000"/>
                <w:sz w:val="19"/>
              </w:rPr>
              <w:t>Allocations</w:t>
            </w:r>
          </w:p>
        </w:tc>
        <w:tc>
          <w:tcPr>
            <w:tcW w:type="dxa" w:w="6860"/>
            <w:tcMar>
              <w:top w:w="90" w:type="dxa"/>
              <w:start w:w="100" w:type="dxa"/>
              <w:bottom w:w="90" w:type="dxa"/>
              <w:end w:w="100" w:type="dxa"/>
            </w:tcMar>
            <w:vAlign w:val="center"/>
            <w:shd w:fill="FFFFFF" w:val="cle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40" w:line="240" w:lineRule="auto" w:before="0"/>
            </w:pPr>
            <w:r>
              <w:rPr>
                <w:rFonts w:ascii="Times New Roman" w:hAnsi="Times New Roman" w:eastAsia="Times New Roman" w:cs="Times New Roman"/>
                <w:b w:val="0"/>
                <w:i w:val="0"/>
                <w:color w:val="000000"/>
                <w:sz w:val="19"/>
              </w:rPr>
              <w:t>Any shared Profound cost must use a defined, consistently applied allocation methodology and may not duplicate a direct reimbursement.</w:t>
            </w:r>
          </w:p>
        </w:tc>
      </w:tr>
      <w:tr>
        <w:trPr>
          <w:cantSplit w:val="true"/>
          <w:cantSplit/>
        </w:trPr>
        <w:tc>
          <w:tcPr>
            <w:tcW w:type="dxa" w:w="2500"/>
            <w:tcMar>
              <w:top w:w="90" w:type="dxa"/>
              <w:start w:w="100" w:type="dxa"/>
              <w:bottom w:w="90" w:type="dxa"/>
              <w:end w:w="100" w:type="dxa"/>
            </w:tcMar>
            <w:vAlign w:val="center"/>
            <w:shd w:fill="FFFFFF" w:val="cle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40" w:line="240" w:lineRule="auto" w:before="0"/>
            </w:pPr>
            <w:r>
              <w:rPr>
                <w:rFonts w:ascii="Times New Roman" w:hAnsi="Times New Roman" w:eastAsia="Times New Roman" w:cs="Times New Roman"/>
                <w:b w:val="0"/>
                <w:i w:val="0"/>
                <w:color w:val="000000"/>
                <w:sz w:val="19"/>
              </w:rPr>
              <w:t>Payroll platform</w:t>
            </w:r>
          </w:p>
        </w:tc>
        <w:tc>
          <w:tcPr>
            <w:tcW w:type="dxa" w:w="6860"/>
            <w:tcMar>
              <w:top w:w="90" w:type="dxa"/>
              <w:start w:w="100" w:type="dxa"/>
              <w:bottom w:w="90" w:type="dxa"/>
              <w:end w:w="100" w:type="dxa"/>
            </w:tcMar>
            <w:vAlign w:val="center"/>
            <w:shd w:fill="FFFFFF" w:val="cle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40" w:line="240" w:lineRule="auto" w:before="0"/>
            </w:pPr>
            <w:r>
              <w:rPr>
                <w:rFonts w:ascii="Times New Roman" w:hAnsi="Times New Roman" w:eastAsia="Times New Roman" w:cs="Times New Roman"/>
                <w:b w:val="0"/>
                <w:i w:val="0"/>
                <w:color w:val="000000"/>
                <w:sz w:val="19"/>
              </w:rPr>
              <w:t>Authoritative filer, Gusto feasibility, benefit plans, workers' compensation, unemployment accounts, payroll cadence, and funding lead time remain to be confirmed.</w:t>
            </w:r>
          </w:p>
        </w:tc>
      </w:tr>
      <w:tr>
        <w:trPr>
          <w:cantSplit w:val="true"/>
          <w:cantSplit/>
        </w:trPr>
        <w:tc>
          <w:tcPr>
            <w:tcW w:type="dxa" w:w="2500"/>
            <w:tcMar>
              <w:top w:w="90" w:type="dxa"/>
              <w:start w:w="100" w:type="dxa"/>
              <w:bottom w:w="90" w:type="dxa"/>
              <w:end w:w="100" w:type="dxa"/>
            </w:tcMar>
            <w:vAlign w:val="center"/>
            <w:shd w:fill="FFFFFF" w:val="cle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40" w:line="240" w:lineRule="auto" w:before="0"/>
            </w:pPr>
            <w:r>
              <w:rPr>
                <w:rFonts w:ascii="Times New Roman" w:hAnsi="Times New Roman" w:eastAsia="Times New Roman" w:cs="Times New Roman"/>
                <w:b w:val="0"/>
                <w:i w:val="0"/>
                <w:color w:val="000000"/>
                <w:sz w:val="19"/>
              </w:rPr>
              <w:t>Collection timing</w:t>
            </w:r>
          </w:p>
        </w:tc>
        <w:tc>
          <w:tcPr>
            <w:tcW w:type="dxa" w:w="6860"/>
            <w:tcMar>
              <w:top w:w="90" w:type="dxa"/>
              <w:start w:w="100" w:type="dxa"/>
              <w:bottom w:w="90" w:type="dxa"/>
              <w:end w:w="100" w:type="dxa"/>
            </w:tcMar>
            <w:vAlign w:val="center"/>
            <w:shd w:fill="FFFFFF" w:val="cle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40" w:line="240" w:lineRule="auto" w:before="0"/>
            </w:pPr>
            <w:r>
              <w:rPr>
                <w:rFonts w:ascii="Times New Roman" w:hAnsi="Times New Roman" w:eastAsia="Times New Roman" w:cs="Times New Roman"/>
                <w:b w:val="0"/>
                <w:i w:val="0"/>
                <w:color w:val="000000"/>
                <w:sz w:val="19"/>
              </w:rPr>
              <w:t>Claims submission, remittance timing, recoupment handling, bad-debt treatment, and residual cash-distribution timing remain open.</w:t>
            </w:r>
          </w:p>
        </w:tc>
      </w:tr>
      <w:tr>
        <w:trPr>
          <w:cantSplit w:val="true"/>
          <w:cantSplit/>
        </w:trPr>
        <w:tc>
          <w:tcPr>
            <w:tcW w:type="dxa" w:w="2500"/>
            <w:tcMar>
              <w:top w:w="90" w:type="dxa"/>
              <w:start w:w="100" w:type="dxa"/>
              <w:bottom w:w="90" w:type="dxa"/>
              <w:end w:w="100" w:type="dxa"/>
            </w:tcMar>
            <w:vAlign w:val="center"/>
            <w:shd w:fill="FFFFFF" w:val="cle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40" w:line="240" w:lineRule="auto" w:before="0"/>
            </w:pPr>
            <w:r>
              <w:rPr>
                <w:rFonts w:ascii="Times New Roman" w:hAnsi="Times New Roman" w:eastAsia="Times New Roman" w:cs="Times New Roman"/>
                <w:b w:val="0"/>
                <w:i w:val="0"/>
                <w:color w:val="000000"/>
                <w:sz w:val="19"/>
              </w:rPr>
              <w:t>Tax and accounting</w:t>
            </w:r>
          </w:p>
        </w:tc>
        <w:tc>
          <w:tcPr>
            <w:tcW w:type="dxa" w:w="6860"/>
            <w:tcMar>
              <w:top w:w="90" w:type="dxa"/>
              <w:start w:w="100" w:type="dxa"/>
              <w:bottom w:w="90" w:type="dxa"/>
              <w:end w:w="100" w:type="dxa"/>
            </w:tcMar>
            <w:vAlign w:val="center"/>
            <w:shd w:fill="FFFFFF" w:val="cle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40" w:line="240" w:lineRule="auto" w:before="0"/>
            </w:pPr>
            <w:r>
              <w:rPr>
                <w:rFonts w:ascii="Times New Roman" w:hAnsi="Times New Roman" w:eastAsia="Times New Roman" w:cs="Times New Roman"/>
                <w:b w:val="0"/>
                <w:i w:val="0"/>
                <w:color w:val="000000"/>
                <w:sz w:val="19"/>
              </w:rPr>
              <w:t>Entity, income-tax, employment-tax, note-conversion, related-party, revenue-recognition, and consolidation conclusions require advisor review.</w:t>
            </w:r>
          </w:p>
        </w:tc>
      </w:tr>
    </w:tbl>
    <w:p>
      <w:pPr>
        <w:spacing w:after="0" w:before="0" w:line="252" w:lineRule="auto"/>
      </w:pPr>
    </w:p>
    <w:p>
      <w:pPr>
        <w:pStyle w:val="Heading1"/>
        <w:spacing w:line="252" w:lineRule="auto"/>
      </w:pPr>
      <w:r>
        <w:rPr>
          <w:rFonts w:ascii="Times New Roman" w:hAnsi="Times New Roman" w:eastAsia="Times New Roman" w:cs="Times New Roman"/>
          <w:b/>
          <w:color w:val="000000"/>
          <w:sz w:val="24"/>
        </w:rPr>
        <w:t>9. Questions for Profound's financial advisor</w:t>
      </w:r>
    </w:p>
    <w:p>
      <w:pPr>
        <w:pStyle w:val="ListNumber"/>
        <w:keepLines/>
        <w:numPr>
          <w:ilvl w:val="0"/>
          <w:numId w:val="10"/>
        </w:numPr>
        <w:spacing w:line="252" w:lineRule="auto"/>
      </w:pPr>
      <w:r>
        <w:rPr>
          <w:rFonts w:ascii="Times New Roman" w:hAnsi="Times New Roman" w:eastAsia="Times New Roman" w:cs="Times New Roman"/>
          <w:b w:val="0"/>
          <w:i w:val="0"/>
          <w:color w:val="000000"/>
          <w:sz w:val="21"/>
        </w:rPr>
        <w:t>Does the proposed funding and payment waterfall prevent Profound's legacy operations from financing Tyler while preserving Profound's control of payer receipts?</w:t>
      </w:r>
    </w:p>
    <w:p>
      <w:pPr>
        <w:pStyle w:val="ListNumber"/>
        <w:keepLines/>
        <w:numPr>
          <w:ilvl w:val="0"/>
          <w:numId w:val="10"/>
        </w:numPr>
        <w:spacing w:line="252" w:lineRule="auto"/>
      </w:pPr>
      <w:r>
        <w:rPr>
          <w:rFonts w:ascii="Times New Roman" w:hAnsi="Times New Roman" w:eastAsia="Times New Roman" w:cs="Times New Roman"/>
          <w:b w:val="0"/>
          <w:i w:val="0"/>
          <w:color w:val="000000"/>
          <w:sz w:val="21"/>
        </w:rPr>
        <w:t>What minimum prefunding level and replenishment cadence should apply to payroll, patient costs, and required reserves?</w:t>
      </w:r>
    </w:p>
    <w:p>
      <w:pPr>
        <w:pStyle w:val="ListNumber"/>
        <w:keepLines/>
        <w:numPr>
          <w:ilvl w:val="0"/>
          <w:numId w:val="10"/>
        </w:numPr>
        <w:spacing w:line="252" w:lineRule="auto"/>
      </w:pPr>
      <w:r>
        <w:rPr>
          <w:rFonts w:ascii="Times New Roman" w:hAnsi="Times New Roman" w:eastAsia="Times New Roman" w:cs="Times New Roman"/>
          <w:b w:val="0"/>
          <w:i w:val="0"/>
          <w:color w:val="000000"/>
          <w:sz w:val="21"/>
        </w:rPr>
        <w:t>What accounting structure will provide reliable Tyler-level reporting without implying that Tyler is a separate Medicare provider during the bridge?</w:t>
      </w:r>
    </w:p>
    <w:p>
      <w:pPr>
        <w:pStyle w:val="ListNumber"/>
        <w:keepLines/>
        <w:numPr>
          <w:ilvl w:val="0"/>
          <w:numId w:val="10"/>
        </w:numPr>
        <w:spacing w:line="252" w:lineRule="auto"/>
      </w:pPr>
      <w:r>
        <w:rPr>
          <w:rFonts w:ascii="Times New Roman" w:hAnsi="Times New Roman" w:eastAsia="Times New Roman" w:cs="Times New Roman"/>
          <w:b w:val="0"/>
          <w:i w:val="0"/>
          <w:color w:val="000000"/>
          <w:sz w:val="21"/>
        </w:rPr>
        <w:t>Which direct costs are reimbursable, which shared costs require allocation, and what documentation and approval thresholds should apply?</w:t>
      </w:r>
    </w:p>
    <w:p>
      <w:pPr>
        <w:pStyle w:val="ListNumber"/>
        <w:keepLines/>
        <w:numPr>
          <w:ilvl w:val="0"/>
          <w:numId w:val="10"/>
        </w:numPr>
        <w:spacing w:line="252" w:lineRule="auto"/>
      </w:pPr>
      <w:r>
        <w:rPr>
          <w:rFonts w:ascii="Times New Roman" w:hAnsi="Times New Roman" w:eastAsia="Times New Roman" w:cs="Times New Roman"/>
          <w:b w:val="0"/>
          <w:i w:val="0"/>
          <w:color w:val="000000"/>
          <w:sz w:val="21"/>
        </w:rPr>
        <w:t>Can Tyler be separately processed through Gusto without duplicate payroll-tax filings, or should Profound's existing payroll provider be the sole processor and filer?</w:t>
      </w:r>
    </w:p>
    <w:p>
      <w:pPr>
        <w:pStyle w:val="ListNumber"/>
        <w:keepLines/>
        <w:numPr>
          <w:ilvl w:val="0"/>
          <w:numId w:val="10"/>
        </w:numPr>
        <w:spacing w:line="252" w:lineRule="auto"/>
      </w:pPr>
      <w:r>
        <w:rPr>
          <w:rFonts w:ascii="Times New Roman" w:hAnsi="Times New Roman" w:eastAsia="Times New Roman" w:cs="Times New Roman"/>
          <w:b w:val="0"/>
          <w:i w:val="0"/>
          <w:color w:val="000000"/>
          <w:sz w:val="21"/>
        </w:rPr>
        <w:t>What reserve methodology is appropriate for denials, ADRs, overpayments, hospice cap, employment obligations, and claims runout?</w:t>
      </w:r>
    </w:p>
    <w:p>
      <w:pPr>
        <w:pStyle w:val="ListNumber"/>
        <w:keepLines/>
        <w:numPr>
          <w:ilvl w:val="0"/>
          <w:numId w:val="10"/>
        </w:numPr>
        <w:spacing w:line="252" w:lineRule="auto"/>
      </w:pPr>
      <w:r>
        <w:rPr>
          <w:rFonts w:ascii="Times New Roman" w:hAnsi="Times New Roman" w:eastAsia="Times New Roman" w:cs="Times New Roman"/>
          <w:b w:val="0"/>
          <w:i w:val="0"/>
          <w:color w:val="000000"/>
          <w:sz w:val="21"/>
        </w:rPr>
        <w:t>What evidence is needed to support the $7,500 monthly fee and either transition option as commercially reasonable and consistent with fair market value?</w:t>
      </w:r>
    </w:p>
    <w:p>
      <w:pPr>
        <w:pStyle w:val="ListNumber"/>
        <w:keepLines/>
        <w:numPr>
          <w:ilvl w:val="0"/>
          <w:numId w:val="10"/>
        </w:numPr>
        <w:spacing w:line="252" w:lineRule="auto"/>
      </w:pPr>
      <w:r>
        <w:rPr>
          <w:rFonts w:ascii="Times New Roman" w:hAnsi="Times New Roman" w:eastAsia="Times New Roman" w:cs="Times New Roman"/>
          <w:b w:val="0"/>
          <w:i w:val="0"/>
          <w:color w:val="000000"/>
          <w:sz w:val="21"/>
        </w:rPr>
        <w:t>How should the $50,000 convertible note be structured and accounted for if Patrick selects that option?</w:t>
      </w:r>
    </w:p>
    <w:p>
      <w:pPr>
        <w:pStyle w:val="ListNumber"/>
        <w:keepLines/>
        <w:numPr>
          <w:ilvl w:val="0"/>
          <w:numId w:val="10"/>
        </w:numPr>
        <w:spacing w:line="252" w:lineRule="auto"/>
      </w:pPr>
      <w:r>
        <w:rPr>
          <w:rFonts w:ascii="Times New Roman" w:hAnsi="Times New Roman" w:eastAsia="Times New Roman" w:cs="Times New Roman"/>
          <w:b w:val="0"/>
          <w:i w:val="0"/>
          <w:color w:val="000000"/>
          <w:sz w:val="21"/>
        </w:rPr>
        <w:t>What monthly close schedule, supporting reports, access rights, and dispute-resolution process are necessary for a timely true-up?</w:t>
      </w:r>
    </w:p>
    <w:p>
      <w:pPr>
        <w:pStyle w:val="ListNumber"/>
        <w:keepLines/>
        <w:numPr>
          <w:ilvl w:val="0"/>
          <w:numId w:val="10"/>
        </w:numPr>
        <w:spacing w:line="252" w:lineRule="auto"/>
      </w:pPr>
      <w:r>
        <w:rPr>
          <w:rFonts w:ascii="Times New Roman" w:hAnsi="Times New Roman" w:eastAsia="Times New Roman" w:cs="Times New Roman"/>
          <w:b w:val="0"/>
          <w:i w:val="0"/>
          <w:color w:val="000000"/>
          <w:sz w:val="21"/>
        </w:rPr>
        <w:t>What liquidity threshold, covenant, or stop-admission trigger should apply if Azalea's available cash falls below the required operating reserve?</w:t>
      </w:r>
    </w:p>
    <w:p>
      <w:pPr>
        <w:pStyle w:val="Heading1"/>
        <w:pageBreakBefore/>
        <w:spacing w:line="252" w:lineRule="auto"/>
      </w:pPr>
      <w:r>
        <w:rPr>
          <w:rFonts w:ascii="Times New Roman" w:hAnsi="Times New Roman" w:eastAsia="Times New Roman" w:cs="Times New Roman"/>
          <w:b/>
          <w:color w:val="000000"/>
          <w:sz w:val="24"/>
        </w:rPr>
        <w:t>10. Recommended next steps</w:t>
      </w:r>
    </w:p>
    <w:p>
      <w:pPr>
        <w:pStyle w:val="ListNumber"/>
        <w:keepLines/>
        <w:numPr>
          <w:ilvl w:val="0"/>
          <w:numId w:val="11"/>
        </w:numPr>
        <w:spacing w:line="252" w:lineRule="auto"/>
      </w:pPr>
      <w:r>
        <w:rPr>
          <w:rFonts w:ascii="Times New Roman" w:hAnsi="Times New Roman" w:eastAsia="Times New Roman" w:cs="Times New Roman"/>
          <w:b w:val="0"/>
          <w:i w:val="0"/>
          <w:color w:val="000000"/>
          <w:sz w:val="21"/>
        </w:rPr>
        <w:t>Confirm the business terms in the non-binding framework and document the September 1 payment obligation in a narrow binding implementation provision or letter.</w:t>
      </w:r>
    </w:p>
    <w:p>
      <w:pPr>
        <w:pStyle w:val="ListNumber"/>
        <w:keepLines/>
        <w:numPr>
          <w:ilvl w:val="0"/>
          <w:numId w:val="11"/>
        </w:numPr>
        <w:spacing w:line="252" w:lineRule="auto"/>
      </w:pPr>
      <w:r>
        <w:rPr>
          <w:rFonts w:ascii="Times New Roman" w:hAnsi="Times New Roman" w:eastAsia="Times New Roman" w:cs="Times New Roman"/>
          <w:b w:val="0"/>
          <w:i w:val="0"/>
          <w:color w:val="000000"/>
          <w:sz w:val="21"/>
        </w:rPr>
        <w:t>Have Profound's financial advisor and counsel redline the proposed cash controls, payroll structure, reserve policy, fee support, reporting package, and transition economics.</w:t>
      </w:r>
    </w:p>
    <w:p>
      <w:pPr>
        <w:pStyle w:val="ListNumber"/>
        <w:keepLines/>
        <w:numPr>
          <w:ilvl w:val="0"/>
          <w:numId w:val="11"/>
        </w:numPr>
        <w:spacing w:line="252" w:lineRule="auto"/>
      </w:pPr>
      <w:r>
        <w:rPr>
          <w:rFonts w:ascii="Times New Roman" w:hAnsi="Times New Roman" w:eastAsia="Times New Roman" w:cs="Times New Roman"/>
          <w:b w:val="0"/>
          <w:i w:val="0"/>
          <w:color w:val="000000"/>
          <w:sz w:val="21"/>
        </w:rPr>
        <w:t>Build and approve a mutually accepted Tyler operating model before adopting financial projections or liquidity thresholds for the definitive agreements.</w:t>
      </w:r>
    </w:p>
    <w:p>
      <w:pPr>
        <w:pStyle w:val="ListNumber"/>
        <w:keepLines/>
        <w:numPr>
          <w:ilvl w:val="0"/>
          <w:numId w:val="11"/>
        </w:numPr>
        <w:spacing w:line="252" w:lineRule="auto"/>
      </w:pPr>
      <w:r>
        <w:rPr>
          <w:rFonts w:ascii="Times New Roman" w:hAnsi="Times New Roman" w:eastAsia="Times New Roman" w:cs="Times New Roman"/>
          <w:b w:val="0"/>
          <w:i w:val="0"/>
          <w:color w:val="000000"/>
          <w:sz w:val="21"/>
        </w:rPr>
        <w:t>Document the final structure through coordinated operating, funding, reimbursement, data-access, vendor, indemnity, transition, and reporting provisions.</w:t>
      </w:r>
    </w:p>
    <w:p>
      <w:pPr>
        <w:pStyle w:val="Heading2"/>
        <w:keepNext/>
        <w:spacing w:line="240" w:lineRule="auto" w:before="140" w:after="60"/>
        <w:ind/>
      </w:pPr>
      <w:r>
        <w:rPr>
          <w:rFonts w:ascii="Times New Roman" w:hAnsi="Times New Roman"/>
          <w:b/>
          <w:color w:val="000000"/>
          <w:sz w:val="21"/>
        </w:rPr>
        <w:t>10.1 Advisor confirmation requested</w:t>
      </w:r>
    </w:p>
    <w:tbl>
      <w:tblPr>
        <w:tblStyle w:val="TableGrid"/>
        <w:tblW w:type="dxa" w:w="9360"/>
        <w:tblLayout w:type="fixed"/>
        <w:tblLook w:firstColumn="1" w:firstRow="1" w:lastColumn="0" w:lastRow="0" w:noHBand="0" w:noVBand="1" w:val="04A0"/>
        <w:tblInd w:w="120" w:type="dxa"/>
      </w:tblPr>
      <w:tblGrid>
        <w:gridCol w:w="2450"/>
        <w:gridCol w:w="6910"/>
      </w:tblGrid>
      <w:tr>
        <w:trPr>
          <w:tblHeader w:val="true"/>
          <w:cantSplit w:val="true"/>
          <w:tblHeader w:val="true"/>
          <w:cantSplit/>
        </w:trPr>
        <w:tc>
          <w:tcPr>
            <w:tcW w:type="dxa" w:w="2450"/>
            <w:shd w:fill="FFFFFF" w:val="clear"/>
            <w:tcMar>
              <w:top w:w="90" w:type="dxa"/>
              <w:start w:w="100" w:type="dxa"/>
              <w:bottom w:w="90" w:type="dxa"/>
              <w:end w:w="100" w:type="dxa"/>
            </w:tcMar>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40" w:line="240" w:lineRule="auto" w:before="0"/>
            </w:pPr>
            <w:r>
              <w:rPr>
                <w:rFonts w:ascii="Times New Roman" w:hAnsi="Times New Roman" w:eastAsia="Times New Roman" w:cs="Times New Roman"/>
                <w:b/>
                <w:i w:val="0"/>
                <w:color w:val="000000"/>
                <w:sz w:val="19"/>
              </w:rPr>
              <w:t>Workstream</w:t>
            </w:r>
          </w:p>
        </w:tc>
        <w:tc>
          <w:tcPr>
            <w:tcW w:type="dxa" w:w="6910"/>
            <w:shd w:fill="FFFFFF" w:val="clear"/>
            <w:tcMar>
              <w:top w:w="90" w:type="dxa"/>
              <w:start w:w="100" w:type="dxa"/>
              <w:bottom w:w="90" w:type="dxa"/>
              <w:end w:w="100" w:type="dxa"/>
            </w:tcMar>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40" w:line="240" w:lineRule="auto" w:before="0"/>
            </w:pPr>
            <w:r>
              <w:rPr>
                <w:rFonts w:ascii="Times New Roman" w:hAnsi="Times New Roman" w:eastAsia="Times New Roman" w:cs="Times New Roman"/>
                <w:b/>
                <w:i w:val="0"/>
                <w:color w:val="000000"/>
                <w:sz w:val="19"/>
              </w:rPr>
              <w:t>Requested response</w:t>
            </w:r>
          </w:p>
        </w:tc>
      </w:tr>
      <w:tr>
        <w:trPr>
          <w:cantSplit w:val="true"/>
          <w:cantSplit/>
        </w:trPr>
        <w:tc>
          <w:tcPr>
            <w:tcW w:type="dxa" w:w="2450"/>
            <w:tcMar>
              <w:top w:w="90" w:type="dxa"/>
              <w:start w:w="100" w:type="dxa"/>
              <w:bottom w:w="90" w:type="dxa"/>
              <w:end w:w="100" w:type="dxa"/>
            </w:tcMar>
            <w:vAlign w:val="center"/>
            <w:shd w:fill="FFFFFF" w:val="cle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40" w:line="240" w:lineRule="auto" w:before="0"/>
            </w:pPr>
            <w:r>
              <w:rPr>
                <w:rFonts w:ascii="Times New Roman" w:hAnsi="Times New Roman" w:eastAsia="Times New Roman" w:cs="Times New Roman"/>
                <w:b w:val="0"/>
                <w:i w:val="0"/>
                <w:color w:val="000000"/>
                <w:sz w:val="19"/>
              </w:rPr>
              <w:t>Cash controls</w:t>
            </w:r>
          </w:p>
        </w:tc>
        <w:tc>
          <w:tcPr>
            <w:tcW w:type="dxa" w:w="6910"/>
            <w:tcMar>
              <w:top w:w="90" w:type="dxa"/>
              <w:start w:w="100" w:type="dxa"/>
              <w:bottom w:w="90" w:type="dxa"/>
              <w:end w:w="100" w:type="dxa"/>
            </w:tcMar>
            <w:vAlign w:val="center"/>
            <w:shd w:fill="FFFFFF" w:val="cle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40" w:line="240" w:lineRule="auto" w:before="0"/>
            </w:pPr>
            <w:r>
              <w:rPr>
                <w:rFonts w:ascii="Times New Roman" w:hAnsi="Times New Roman" w:eastAsia="Times New Roman" w:cs="Times New Roman"/>
                <w:b w:val="0"/>
                <w:i w:val="0"/>
                <w:color w:val="000000"/>
                <w:sz w:val="19"/>
              </w:rPr>
              <w:t>Confirm acceptable, or redline the prefunding, account-control, waterfall, reconciliation, and true-up provisions.</w:t>
            </w:r>
          </w:p>
        </w:tc>
      </w:tr>
      <w:tr>
        <w:trPr>
          <w:cantSplit w:val="true"/>
          <w:cantSplit/>
        </w:trPr>
        <w:tc>
          <w:tcPr>
            <w:tcW w:type="dxa" w:w="2450"/>
            <w:tcMar>
              <w:top w:w="90" w:type="dxa"/>
              <w:start w:w="100" w:type="dxa"/>
              <w:bottom w:w="90" w:type="dxa"/>
              <w:end w:w="100" w:type="dxa"/>
            </w:tcMar>
            <w:vAlign w:val="center"/>
            <w:shd w:fill="FFFFFF" w:val="cle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40" w:line="240" w:lineRule="auto" w:before="0"/>
            </w:pPr>
            <w:r>
              <w:rPr>
                <w:rFonts w:ascii="Times New Roman" w:hAnsi="Times New Roman" w:eastAsia="Times New Roman" w:cs="Times New Roman"/>
                <w:b w:val="0"/>
                <w:i w:val="0"/>
                <w:color w:val="000000"/>
                <w:sz w:val="19"/>
              </w:rPr>
              <w:t>Accounting</w:t>
            </w:r>
          </w:p>
        </w:tc>
        <w:tc>
          <w:tcPr>
            <w:tcW w:type="dxa" w:w="6910"/>
            <w:tcMar>
              <w:top w:w="90" w:type="dxa"/>
              <w:start w:w="100" w:type="dxa"/>
              <w:bottom w:w="90" w:type="dxa"/>
              <w:end w:w="100" w:type="dxa"/>
            </w:tcMar>
            <w:vAlign w:val="center"/>
            <w:shd w:fill="FFFFFF" w:val="cle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40" w:line="240" w:lineRule="auto" w:before="0"/>
            </w:pPr>
            <w:r>
              <w:rPr>
                <w:rFonts w:ascii="Times New Roman" w:hAnsi="Times New Roman" w:eastAsia="Times New Roman" w:cs="Times New Roman"/>
                <w:b w:val="0"/>
                <w:i w:val="0"/>
                <w:color w:val="000000"/>
                <w:sz w:val="19"/>
              </w:rPr>
              <w:t>Confirm the Tyler cost-center/subledger design, direct-cost policy, allocation method, close calendar, and reporting package.</w:t>
            </w:r>
          </w:p>
        </w:tc>
      </w:tr>
      <w:tr>
        <w:trPr>
          <w:cantSplit w:val="true"/>
          <w:cantSplit/>
        </w:trPr>
        <w:tc>
          <w:tcPr>
            <w:tcW w:type="dxa" w:w="2450"/>
            <w:tcMar>
              <w:top w:w="90" w:type="dxa"/>
              <w:start w:w="100" w:type="dxa"/>
              <w:bottom w:w="90" w:type="dxa"/>
              <w:end w:w="100" w:type="dxa"/>
            </w:tcMar>
            <w:vAlign w:val="center"/>
            <w:shd w:fill="FFFFFF" w:val="cle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40" w:line="240" w:lineRule="auto" w:before="0"/>
            </w:pPr>
            <w:r>
              <w:rPr>
                <w:rFonts w:ascii="Times New Roman" w:hAnsi="Times New Roman" w:eastAsia="Times New Roman" w:cs="Times New Roman"/>
                <w:b w:val="0"/>
                <w:i w:val="0"/>
                <w:color w:val="000000"/>
                <w:sz w:val="19"/>
              </w:rPr>
              <w:t>Payroll</w:t>
            </w:r>
          </w:p>
        </w:tc>
        <w:tc>
          <w:tcPr>
            <w:tcW w:type="dxa" w:w="6910"/>
            <w:tcMar>
              <w:top w:w="90" w:type="dxa"/>
              <w:start w:w="100" w:type="dxa"/>
              <w:bottom w:w="90" w:type="dxa"/>
              <w:end w:w="100" w:type="dxa"/>
            </w:tcMar>
            <w:vAlign w:val="center"/>
            <w:shd w:fill="FFFFFF" w:val="cle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40" w:line="240" w:lineRule="auto" w:before="0"/>
            </w:pPr>
            <w:r>
              <w:rPr>
                <w:rFonts w:ascii="Times New Roman" w:hAnsi="Times New Roman" w:eastAsia="Times New Roman" w:cs="Times New Roman"/>
                <w:b w:val="0"/>
                <w:i w:val="0"/>
                <w:color w:val="000000"/>
                <w:sz w:val="19"/>
              </w:rPr>
              <w:t>Confirm the authoritative payroll-tax filer and whether any separate Gusto configuration is workable.</w:t>
            </w:r>
          </w:p>
        </w:tc>
      </w:tr>
      <w:tr>
        <w:trPr>
          <w:cantSplit w:val="true"/>
          <w:cantSplit/>
        </w:trPr>
        <w:tc>
          <w:tcPr>
            <w:tcW w:type="dxa" w:w="2450"/>
            <w:tcMar>
              <w:top w:w="90" w:type="dxa"/>
              <w:start w:w="100" w:type="dxa"/>
              <w:bottom w:w="90" w:type="dxa"/>
              <w:end w:w="100" w:type="dxa"/>
            </w:tcMar>
            <w:vAlign w:val="center"/>
            <w:shd w:fill="FFFFFF" w:val="cle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40" w:line="240" w:lineRule="auto" w:before="0"/>
            </w:pPr>
            <w:r>
              <w:rPr>
                <w:rFonts w:ascii="Times New Roman" w:hAnsi="Times New Roman" w:eastAsia="Times New Roman" w:cs="Times New Roman"/>
                <w:b w:val="0"/>
                <w:i w:val="0"/>
                <w:color w:val="000000"/>
                <w:sz w:val="19"/>
              </w:rPr>
              <w:t>Economics</w:t>
            </w:r>
          </w:p>
        </w:tc>
        <w:tc>
          <w:tcPr>
            <w:tcW w:type="dxa" w:w="6910"/>
            <w:tcMar>
              <w:top w:w="90" w:type="dxa"/>
              <w:start w:w="100" w:type="dxa"/>
              <w:bottom w:w="90" w:type="dxa"/>
              <w:end w:w="100" w:type="dxa"/>
            </w:tcMar>
            <w:vAlign w:val="center"/>
            <w:shd w:fill="FFFFFF" w:val="cle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40" w:line="240" w:lineRule="auto" w:before="0"/>
            </w:pPr>
            <w:r>
              <w:rPr>
                <w:rFonts w:ascii="Times New Roman" w:hAnsi="Times New Roman" w:eastAsia="Times New Roman" w:cs="Times New Roman"/>
                <w:b w:val="0"/>
                <w:i w:val="0"/>
                <w:color w:val="000000"/>
                <w:sz w:val="19"/>
              </w:rPr>
              <w:t>Identify FMV support required for the monthly fee and transition option; propose convertible-note terms if selected.</w:t>
            </w:r>
          </w:p>
        </w:tc>
      </w:tr>
      <w:tr>
        <w:trPr>
          <w:cantSplit w:val="true"/>
          <w:cantSplit/>
        </w:trPr>
        <w:tc>
          <w:tcPr>
            <w:tcW w:type="dxa" w:w="2450"/>
            <w:tcMar>
              <w:top w:w="90" w:type="dxa"/>
              <w:start w:w="100" w:type="dxa"/>
              <w:bottom w:w="90" w:type="dxa"/>
              <w:end w:w="100" w:type="dxa"/>
            </w:tcMar>
            <w:vAlign w:val="center"/>
            <w:shd w:fill="FFFFFF" w:val="cle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40" w:line="240" w:lineRule="auto" w:before="0"/>
            </w:pPr>
            <w:r>
              <w:rPr>
                <w:rFonts w:ascii="Times New Roman" w:hAnsi="Times New Roman" w:eastAsia="Times New Roman" w:cs="Times New Roman"/>
                <w:b w:val="0"/>
                <w:i w:val="0"/>
                <w:color w:val="000000"/>
                <w:sz w:val="19"/>
              </w:rPr>
              <w:t>Liquidity and reserves</w:t>
            </w:r>
          </w:p>
        </w:tc>
        <w:tc>
          <w:tcPr>
            <w:tcW w:type="dxa" w:w="6910"/>
            <w:tcMar>
              <w:top w:w="90" w:type="dxa"/>
              <w:start w:w="100" w:type="dxa"/>
              <w:bottom w:w="90" w:type="dxa"/>
              <w:end w:w="100" w:type="dxa"/>
            </w:tcMar>
            <w:vAlign w:val="center"/>
            <w:shd w:fill="FFFFFF" w:val="cle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40" w:line="240" w:lineRule="auto" w:before="0"/>
            </w:pPr>
            <w:r>
              <w:rPr>
                <w:rFonts w:ascii="Times New Roman" w:hAnsi="Times New Roman" w:eastAsia="Times New Roman" w:cs="Times New Roman"/>
                <w:b w:val="0"/>
                <w:i w:val="0"/>
                <w:color w:val="000000"/>
                <w:sz w:val="19"/>
              </w:rPr>
              <w:t>Recommend minimum prefunding, reserve categories, replenishment timing, and stop-admission thresholds.</w:t>
            </w:r>
          </w:p>
        </w:tc>
      </w:tr>
    </w:tbl>
    <w:p>
      <w:pPr>
        <w:spacing w:after="0" w:before="0" w:line="252" w:lineRule="auto"/>
      </w:pPr>
    </w:p>
    <w:p>
      <w:pPr>
        <w:keepLines/>
        <w:spacing w:before="200" w:line="252" w:lineRule="auto"/>
      </w:pPr>
      <w:r>
        <w:rPr>
          <w:rFonts w:ascii="Times New Roman" w:hAnsi="Times New Roman" w:eastAsia="Times New Roman" w:cs="Times New Roman"/>
          <w:b/>
          <w:i w:val="0"/>
          <w:color w:val="000000"/>
          <w:sz w:val="21"/>
        </w:rPr>
        <w:t xml:space="preserve">Requested advisor response. </w:t>
      </w:r>
      <w:r>
        <w:rPr>
          <w:rFonts w:ascii="Times New Roman" w:hAnsi="Times New Roman" w:eastAsia="Times New Roman" w:cs="Times New Roman"/>
          <w:b w:val="0"/>
          <w:i w:val="0"/>
          <w:color w:val="000000"/>
          <w:sz w:val="21"/>
        </w:rPr>
        <w:t>Please identify any financial-control or accounting issue that should prevent the parties from signing the non-binding framework, and provide proposed revisions to the open items above before definitive documentation.</w:t>
      </w:r>
    </w:p>
    <w:p>
      <w:pPr>
        <w:pStyle w:val="Heading1"/>
        <w:keepNext/>
        <w:pageBreakBefore/>
        <w:spacing w:line="252" w:lineRule="auto"/>
      </w:pPr>
      <w:r>
        <w:rPr>
          <w:rFonts w:ascii="Times New Roman" w:hAnsi="Times New Roman"/>
          <w:b/>
          <w:color w:val="000000"/>
          <w:sz w:val="24"/>
        </w:rPr>
        <w:t>Appendix A. Entity structure for drafting</w:t>
      </w:r>
    </w:p>
    <w:tbl>
      <w:tblPr>
        <w:tblW w:type="dxa" w:w="7416"/>
        <w:jc w:val="center"/>
        <w:tblLayout w:type="fixed"/>
        <w:tblLook w:firstColumn="1" w:firstRow="1" w:lastColumn="0" w:lastRow="0" w:noHBand="0" w:noVBand="1" w:val="04A0"/>
      </w:tblPr>
      <w:tblGrid>
        <w:gridCol w:w="7416"/>
      </w:tblGrid>
      <w:tr>
        <w:trPr>
          <w:trHeight w:val="893" w:hRule="atLeast"/>
        </w:trPr>
        <w:tc>
          <w:tcPr>
            <w:tcW w:type="dxa" w:w="7416"/>
            <w:vAlign w:val="center"/>
            <w:tcBorders>
              <w:top w:val="single" w:sz="10" w:color="444444"/>
              <w:left w:val="single" w:sz="10" w:color="444444"/>
              <w:bottom w:val="single" w:sz="10" w:color="444444"/>
              <w:right w:val="single" w:sz="10" w:color="444444"/>
              <w:insideH w:val="single" w:sz="10" w:color="444444"/>
              <w:insideV w:val="single" w:sz="10" w:color="444444"/>
            </w:tcBorders>
            <w:shd w:fill="F2F2F2"/>
          </w:tcPr>
          <w:p>
            <w:pPr>
              <w:spacing w:before="80" w:after="80" w:line="240" w:lineRule="auto"/>
              <w:jc w:val="center"/>
            </w:pPr>
            <w:r>
              <w:rPr>
                <w:rFonts w:ascii="Times New Roman" w:hAnsi="Times New Roman"/>
                <w:b/>
                <w:color w:val="000000"/>
                <w:sz w:val="21"/>
              </w:rPr>
              <w:t>Tyler Hospice Hold, LLC</w:t>
              <w:br/>
            </w:r>
            <w:r>
              <w:rPr>
                <w:rFonts w:ascii="Times New Roman" w:hAnsi="Times New Roman"/>
                <w:b w:val="0"/>
                <w:color w:val="000000"/>
                <w:sz w:val="19"/>
              </w:rPr>
              <w:t>Holding company</w:t>
            </w:r>
          </w:p>
        </w:tc>
      </w:tr>
      <w:tr>
        <w:trPr>
          <w:trHeight w:val="893" w:hRule="atLeast"/>
        </w:trPr>
        <w:tc>
          <w:tcPr>
            <w:tcW w:type="dxa" w:w="7416"/>
            <w:vAlign w:val="center"/>
            <w:tcBorders>
              <w:top w:val="nil"/>
              <w:left w:val="nil"/>
              <w:bottom w:val="nil"/>
              <w:right w:val="nil"/>
              <w:insideH w:val="nil"/>
              <w:insideV w:val="nil"/>
            </w:tcBorders>
            <w:shd w:fill="FFFFFF"/>
          </w:tcPr>
          <w:p>
            <w:pPr>
              <w:spacing w:before="100" w:after="100" w:line="240" w:lineRule="auto"/>
              <w:jc w:val="center"/>
            </w:pPr>
            <w:r>
              <w:rPr>
                <w:rFonts w:ascii="Times New Roman" w:hAnsi="Times New Roman"/>
                <w:b/>
                <w:color w:val="000000"/>
                <w:sz w:val="36"/>
              </w:rPr>
              <w:t>↓</w:t>
              <w:br/>
            </w:r>
            <w:r>
              <w:rPr>
                <w:rFonts w:ascii="Times New Roman" w:hAnsi="Times New Roman"/>
                <w:b w:val="0"/>
                <w:color w:val="000000"/>
                <w:sz w:val="21"/>
              </w:rPr>
              <w:t>100% ownership</w:t>
            </w:r>
          </w:p>
        </w:tc>
      </w:tr>
      <w:tr>
        <w:trPr>
          <w:trHeight w:val="1181" w:hRule="atLeast"/>
        </w:trPr>
        <w:tc>
          <w:tcPr>
            <w:tcW w:type="dxa" w:w="7416"/>
            <w:vAlign w:val="center"/>
            <w:tcBorders>
              <w:top w:val="single" w:sz="10" w:color="444444"/>
              <w:left w:val="single" w:sz="10" w:color="444444"/>
              <w:bottom w:val="single" w:sz="10" w:color="444444"/>
              <w:right w:val="single" w:sz="10" w:color="444444"/>
              <w:insideH w:val="single" w:sz="10" w:color="444444"/>
              <w:insideV w:val="single" w:sz="10" w:color="444444"/>
            </w:tcBorders>
            <w:shd w:fill="F2F2F2"/>
          </w:tcPr>
          <w:p>
            <w:pPr>
              <w:spacing w:before="80" w:after="80" w:line="240" w:lineRule="auto"/>
              <w:jc w:val="center"/>
            </w:pPr>
            <w:r>
              <w:rPr>
                <w:rFonts w:ascii="Times New Roman" w:hAnsi="Times New Roman"/>
                <w:b/>
                <w:color w:val="000000"/>
                <w:sz w:val="21"/>
              </w:rPr>
              <w:t>Tyler operating company — to be formed</w:t>
              <w:br/>
            </w:r>
            <w:r>
              <w:rPr>
                <w:rFonts w:ascii="Times New Roman" w:hAnsi="Times New Roman"/>
                <w:b w:val="0"/>
                <w:color w:val="000000"/>
                <w:sz w:val="19"/>
              </w:rPr>
              <w:t>Intended DBA: Azalea Hospice</w:t>
              <w:br/>
            </w:r>
            <w:r>
              <w:rPr>
                <w:rFonts w:ascii="Times New Roman" w:hAnsi="Times New Roman"/>
                <w:b w:val="0"/>
                <w:color w:val="000000"/>
                <w:sz w:val="19"/>
              </w:rPr>
              <w:t>Tyler, Texas operating entity</w:t>
            </w:r>
          </w:p>
        </w:tc>
      </w:tr>
    </w:tbl>
    <w:p>
      <w:pPr>
        <w:spacing w:before="160" w:after="0"/>
      </w:pPr>
      <w:r>
        <w:rPr>
          <w:rFonts w:ascii="Times New Roman" w:hAnsi="Times New Roman"/>
          <w:b/>
          <w:color w:val="000000"/>
          <w:sz w:val="21"/>
        </w:rPr>
        <w:t>Drafting note.</w:t>
      </w:r>
      <w:r>
        <w:rPr>
          <w:rFonts w:ascii="Times New Roman" w:hAnsi="Times New Roman"/>
          <w:b w:val="0"/>
          <w:color w:val="000000"/>
          <w:sz w:val="21"/>
        </w:rPr>
        <w:t xml:space="preserve"> The Tyler operating company has been identified and is currently undergoing diligence, but it does not yet exist as a formed subsidiary. Tyler Hospice Hold, LLC is intended to own 100% of that future subsidiary, and “Azalea Hospice” is the intended DBA/trade name of the operating company—not a separate existing legal entity.</w:t>
      </w:r>
    </w:p>
    <w:sectPr w:rsidR="00FC693F" w:rsidRPr="0006063C" w:rsidSect="00034616">
      <w:headerReference w:type="default" r:id="rId9"/>
      <w:headerReference w:type="even" r:id="rId10"/>
      <w:headerReference w:type="first" r:id="rId11"/>
      <w:footerReference w:type="default" r:id="rId12"/>
      <w:footerReference w:type="even" r:id="rId13"/>
      <w:footerReference w:type="first" r:id="rId14"/>
      <w:pgSz w:w="12240" w:h="15840"/>
      <w:pgMar w:top="1296" w:right="1440" w:bottom="1224" w:left="1440"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t>Profound Financial Advisor Memorandum – Working Draft Revision 1.00 – 080626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t>Profound Financial Advisor Memorandum – Working Draft Revision 1.00 – 080626</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t>Profound Financial Advisor Memorandum – Working Draft Revision 1.00 – 080626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Times New Roman" w:hAnsi="Times New Roman" w:eastAsia="Times New Roman"/>
        <w:b/>
        <w:i w:val="0"/>
        <w:color w:val="000000"/>
        <w:sz w:val="17"/>
      </w:rPr>
      <w:t>TYLER HOSPICE HOLD, LLC | PROFOUND ADS STRUCTURE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Times New Roman" w:hAnsi="Times New Roman" w:eastAsia="Times New Roman"/>
        <w:b/>
        <w:i w:val="0"/>
        <w:color w:val="000000"/>
        <w:sz w:val="17"/>
      </w:rPr>
      <w:t>TYLER HOSPICE HOLD, LLC | PROFOUND ADS STRUCTURE</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Times New Roman" w:hAnsi="Times New Roman" w:eastAsia="Times New Roman"/>
        <w:b/>
        <w:i w:val="0"/>
        <w:color w:val="000000"/>
        <w:sz w:val="17"/>
      </w:rPr>
      <w:t>TYLER HOSPICE HOLD, LLC | PROFOUND ADS STRUCTURE</w:t>
    </w:r>
  </w:p>
</w:hdr>
</file>

<file path=word/numbering.xml><?xml version="1.0" encoding="utf-8"?>
<w:numbering xmlns:ns1="http://schemas.openxmlformats.org/markup-compatibility/2006" xmlns:w="http://schemas.openxmlformats.org/wordprocessingml/2006/main" ns1: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Times New Roman" w:hAnsi="Times New Roman" w:hint="default" w:eastAsia="Times New Roman" w:cs="Times New Roman"/>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Times New Roman" w:hAnsi="Times New Roman" w:hint="default" w:eastAsia="Times New Roman" w:cs="Times New Roman"/>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Times New Roman" w:hAnsi="Times New Roman" w:hint="default" w:eastAsia="Times New Roman" w:cs="Times New Roman"/>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Times New Roman" w:hAnsi="Times New Roman" w:hint="default" w:eastAsia="Times New Roman" w:cs="Times New Roman"/>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252" w:lineRule="auto"/>
    </w:pPr>
    <w:rPr>
      <w:rFonts w:ascii="Times New Roman" w:hAnsi="Times New Roman" w:eastAsia="Times New Roman"/>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200" w:after="80"/>
      <w:outlineLvl w:val="0"/>
    </w:pPr>
    <w:rPr>
      <w:rFonts w:asciiTheme="majorHAnsi" w:eastAsiaTheme="majorEastAsia" w:hAnsiTheme="majorHAnsi" w:cstheme="majorBidi" w:ascii="Times New Roman" w:hAnsi="Times New Roman" w:eastAsia="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Times New Roman" w:hAnsi="Times New Roman" w:eastAsia="Times New Roman"/>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40" w:lineRule="auto"/>
      <w:ind w:left="720" w:hanging="360"/>
      <w:contextualSpacing/>
    </w:pPr>
    <w:rPr>
      <w:rFonts w:ascii="Times New Roman" w:hAnsi="Times New Roman" w:eastAsia="Times New Roman"/>
      <w:b w:val="0"/>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line="240" w:lineRule="auto"/>
      <w:ind w:left="720" w:hanging="360"/>
      <w:contextualSpacing/>
    </w:pPr>
    <w:rPr>
      <w:rFonts w:ascii="Times New Roman" w:hAnsi="Times New Roman" w:eastAsia="Times New Roman"/>
      <w:b w:val="0"/>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Profound Financial Advisor Memorandum</dc:title>
  <dc:subject>Proposed Tyler ADS partnership financial framework</dc:subject>
  <dc:creator>Geoff Schackmann</dc:creator>
  <cp:keywords>Confidential; Profound; Azalea; ADS; financial advisor</cp:keywords>
  <dc:description>generated by python-docx</dc:description>
  <cp:lastModifiedBy/>
  <cp:revision>1</cp:revision>
  <dcterms:created xsi:type="dcterms:W3CDTF">2013-12-23T23:15:00Z</dcterms:created>
  <dcterms:modified xsi:type="dcterms:W3CDTF">2013-12-23T23:15:00Z</dcterms:modified>
  <cp:category/>
</cp:coreProperties>
</file>