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HoldCo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Loan request</w:t>
            </w:r>
          </w:p>
        </w:tc>
        <w:tc>
          <w:tcPr>
            <w:tcW w:type="dxa" w:w="1872"/>
          </w:tcPr>
          <w:p>
            <w:r/>
            <w:r>
              <w:rPr>
                <w:sz w:val="19"/>
              </w:rPr>
              <w:t>$500,000</w:t>
            </w:r>
          </w:p>
        </w:tc>
        <w:tc>
          <w:tcPr>
            <w:tcW w:type="dxa" w:w="5184"/>
          </w:tcPr>
          <w:p>
            <w:r/>
            <w:r>
              <w:rPr>
                <w:sz w:val="19"/>
              </w:rPr>
              <w:t>SBA 7(a) - 10-yr term</w:t>
            </w:r>
          </w:p>
        </w:tc>
      </w:tr>
      <w:tr>
        <w:tc>
          <w:tcPr>
            <w:tcW w:type="dxa" w:w="2304"/>
          </w:tcPr>
          <w:p>
            <w:r/>
            <w:r>
              <w:rPr>
                <w:sz w:val="19"/>
              </w:rPr>
              <w:t>Total project</w:t>
            </w:r>
          </w:p>
        </w:tc>
        <w:tc>
          <w:tcPr>
            <w:tcW w:type="dxa" w:w="1872"/>
          </w:tcPr>
          <w:p>
            <w:r/>
            <w:r>
              <w:rPr>
                <w:sz w:val="19"/>
              </w:rPr>
              <w:t>$1.05M</w:t>
            </w:r>
          </w:p>
        </w:tc>
        <w:tc>
          <w:tcPr>
            <w:tcW w:type="dxa" w:w="5184"/>
          </w:tcPr>
          <w:p>
            <w:r/>
            <w:r>
              <w:rPr>
                <w:sz w:val="19"/>
              </w:rPr>
              <w:t>$500K SBA - $300K seller note - $250K equity</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w:t>
            </w:r>
          </w:p>
        </w:tc>
        <w:tc>
          <w:tcPr>
            <w:tcW w:type="dxa" w:w="1872"/>
          </w:tcPr>
          <w:p>
            <w:r/>
            <w:r>
              <w:rPr>
                <w:sz w:val="19"/>
              </w:rPr>
              <w:t>3.42x</w:t>
            </w:r>
          </w:p>
        </w:tc>
        <w:tc>
          <w:tcPr>
            <w:tcW w:type="dxa" w:w="5184"/>
          </w:tcPr>
          <w:p>
            <w:r/>
            <w:r>
              <w:rPr>
                <w:sz w:val="19"/>
              </w:rPr>
              <w:t>3-yr combined - floor 1.25x</w:t>
            </w:r>
          </w:p>
        </w:tc>
      </w:tr>
      <w:tr>
        <w:tc>
          <w:tcPr>
            <w:tcW w:type="dxa" w:w="2304"/>
          </w:tcPr>
          <w:p>
            <w:r/>
            <w:r>
              <w:rPr>
                <w:sz w:val="19"/>
              </w:rPr>
              <w:t>Equity injection</w:t>
            </w:r>
          </w:p>
        </w:tc>
        <w:tc>
          <w:tcPr>
            <w:tcW w:type="dxa" w:w="1872"/>
          </w:tcPr>
          <w:p>
            <w:r/>
            <w:r>
              <w:rPr>
                <w:sz w:val="19"/>
              </w:rPr>
              <w:t>$250,000</w:t>
            </w:r>
          </w:p>
        </w:tc>
        <w:tc>
          <w:tcPr>
            <w:tcW w:type="dxa" w:w="5184"/>
          </w:tcPr>
          <w:p>
            <w:r/>
            <w:r>
              <w:rPr>
                <w:sz w:val="19"/>
              </w:rPr>
              <w:t>23.8% of project - 2.4x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HoldCo L.L.C. requests a $500,000 SBA 7(a) loan to acquire and relaunch Hickory Hospice LLC - an established, Medicare-certified hospice - as Azalea Hospice &amp; Palliative Care. The agency's existing Medicare-certified provider number is acquired through a change of ownership (CHOW) for $300,000 in seller financing (36-month note at 6%), giving Azalea immediate, billing-ready capability with no new-enrollment delay. The loan is paired with a $250,000 cash equity injection and a $100,000 working-capital line held in reserve, for a total project of $1.05 million.</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Hickory Medicare license (CHOW)</w:t>
            </w:r>
          </w:p>
        </w:tc>
        <w:tc>
          <w:tcPr>
            <w:tcW w:type="dxa" w:w="1584"/>
          </w:tcPr>
          <w:p>
            <w:r/>
            <w:r>
              <w:rPr>
                <w:sz w:val="19"/>
              </w:rPr>
              <w:t>$300,000</w:t>
            </w:r>
          </w:p>
        </w:tc>
        <w:tc>
          <w:tcPr>
            <w:tcW w:type="dxa" w:w="4176"/>
          </w:tcPr>
          <w:p>
            <w:r/>
            <w:r>
              <w:rPr>
                <w:sz w:val="19"/>
              </w:rPr>
              <w:t>Existing Medicare provider number; self-financed by the seller note</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$672,000</w:t>
            </w:r>
          </w:p>
        </w:tc>
        <w:tc>
          <w:tcPr>
            <w:tcW w:type="dxa" w:w="4176"/>
          </w:tcPr>
          <w:p>
            <w:r/>
            <w:r>
              <w:rPr>
                <w:sz w:val="19"/>
              </w:rPr>
              <w:t>Funds ramp payroll and dual debt service; holds the $25K floor, line undrawn</w:t>
            </w:r>
          </w:p>
        </w:tc>
      </w:tr>
      <w:tr>
        <w:tc>
          <w:tcPr>
            <w:tcW w:type="dxa" w:w="3600"/>
          </w:tcPr>
          <w:p>
            <w:r/>
            <w:r>
              <w:rPr>
                <w:sz w:val="19"/>
              </w:rPr>
              <w:t>Total uses</w:t>
            </w:r>
          </w:p>
        </w:tc>
        <w:tc>
          <w:tcPr>
            <w:tcW w:type="dxa" w:w="1584"/>
          </w:tcPr>
          <w:p>
            <w:r/>
            <w:r>
              <w:rPr>
                <w:sz w:val="19"/>
              </w:rPr>
              <w:t>$1,050,000</w:t>
            </w:r>
          </w:p>
        </w:tc>
        <w:tc>
          <w:tcPr>
            <w:tcW w:type="dxa" w:w="4176"/>
          </w:tcPr>
          <w:p>
            <w:r/>
            <w:r>
              <w:rPr>
                <w:sz w:val="19"/>
              </w:rPr>
              <w:t>SBA $500K - Seller note $300K - Equity $250K - WC line $100K (undrawn)</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$190,032</w:t>
            </w:r>
          </w:p>
        </w:tc>
        <w:tc>
          <w:tcPr>
            <w:tcW w:type="dxa" w:w="2160"/>
          </w:tcPr>
          <w:p>
            <w:r/>
            <w:r>
              <w:rPr>
                <w:sz w:val="19"/>
              </w:rPr>
              <w:t>$571,134</w:t>
            </w:r>
          </w:p>
        </w:tc>
        <w:tc>
          <w:tcPr>
            <w:tcW w:type="dxa" w:w="2160"/>
          </w:tcPr>
          <w:p>
            <w:r/>
            <w:r>
              <w:rPr>
                <w:sz w:val="19"/>
              </w:rPr>
              <w:t>$905,290</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Combined DSCR</w:t>
            </w:r>
          </w:p>
        </w:tc>
        <w:tc>
          <w:tcPr>
            <w:tcW w:type="dxa" w:w="2160"/>
          </w:tcPr>
          <w:p>
            <w:r/>
            <w:r>
              <w:rPr>
                <w:sz w:val="19"/>
              </w:rPr>
              <w:t>1.56x</w:t>
            </w:r>
          </w:p>
        </w:tc>
        <w:tc>
          <w:tcPr>
            <w:tcW w:type="dxa" w:w="2160"/>
          </w:tcPr>
          <w:p>
            <w:r/>
            <w:r>
              <w:rPr>
                <w:sz w:val="19"/>
              </w:rPr>
              <w:t>3.50x</w:t>
            </w:r>
          </w:p>
        </w:tc>
        <w:tc>
          <w:tcPr>
            <w:tcW w:type="dxa" w:w="2160"/>
          </w:tcPr>
          <w:p>
            <w:r/>
            <w:r>
              <w:rPr>
                <w:sz w:val="19"/>
              </w:rPr>
              <w:t>5.20x</w:t>
            </w:r>
          </w:p>
        </w:tc>
      </w:tr>
    </w:tbl>
    <w:p>
      <w:r>
        <w:rPr>
          <w:b w:val="0"/>
          <w:i w:val="0"/>
          <w:sz w:val="21"/>
        </w:rPr>
        <w:t>The operation is EBITDA-positive from early in the ramp. Against combined debt service of $193,876/yr (SBA $84,357 + seller note $109,519), the model clears a global 3-year DSCR of 3.42x - well above the 1.25x floor - with coverage strengthening each year (1.56x -&gt; 3.50x -&gt; 5.20x) and springing higher once the seller note retires after Year 3. The $672,000 opening reserve keeps minimum cash well above the $25,000 floor throughout, with the $100,000 line never drawn in the base case.</w:t>
      </w:r>
    </w:p>
    <w:p>
      <w:r>
        <w:br w:type="page"/>
      </w:r>
    </w:p>
    <w:p>
      <w:r>
        <w:rPr>
          <w:b/>
          <w:color w:val="1F3864"/>
          <w:sz w:val="30"/>
        </w:rPr>
        <w:t>02 - Company Description</w:t>
      </w:r>
    </w:p>
    <w:p>
      <w:r>
        <w:rPr>
          <w:b/>
          <w:color w:val="1F3864"/>
          <w:sz w:val="23"/>
        </w:rPr>
        <w:t>2.1 Legal structure</w:t>
      </w:r>
    </w:p>
    <w:p>
      <w:r>
        <w:rPr>
          <w:b w:val="0"/>
          <w:i w:val="0"/>
          <w:sz w:val="21"/>
        </w:rPr>
        <w:t>Tyler Hospice HoldCo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19.9%</w:t>
            </w:r>
          </w:p>
        </w:tc>
        <w:tc>
          <w:tcPr>
            <w:tcW w:type="dxa" w:w="4896"/>
          </w:tcPr>
          <w:p>
            <w:r/>
            <w:r>
              <w:rPr>
                <w:sz w:val="19"/>
              </w:rPr>
              <w:t>Passive minority investor - $250,000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milestone-vested</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milestone-vested</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milestone-vested</w:t>
            </w:r>
          </w:p>
        </w:tc>
      </w:tr>
      <w:tr>
        <w:tc>
          <w:tcPr>
            <w:tcW w:type="dxa" w:w="3168"/>
          </w:tcPr>
          <w:p>
            <w:r/>
            <w:r>
              <w:rPr>
                <w:sz w:val="19"/>
              </w:rPr>
              <w:t>Unissued pool</w:t>
            </w:r>
          </w:p>
        </w:tc>
        <w:tc>
          <w:tcPr>
            <w:tcW w:type="dxa" w:w="1296"/>
          </w:tcPr>
          <w:p>
            <w:r/>
            <w:r>
              <w:rPr>
                <w:sz w:val="19"/>
              </w:rPr>
              <w:t>0.3%</w:t>
            </w:r>
          </w:p>
        </w:tc>
        <w:tc>
          <w:tcPr>
            <w:tcW w:type="dxa" w:w="4896"/>
          </w:tcPr>
          <w:p>
            <w:r/>
            <w:r>
              <w:rPr>
                <w:sz w:val="19"/>
              </w:rPr>
              <w:t>Reserved for future grants</w:t>
            </w:r>
          </w:p>
        </w:tc>
      </w:tr>
    </w:tbl>
    <w:p>
      <w:r>
        <w:rPr>
          <w:b/>
          <w:color w:val="1F3864"/>
          <w:sz w:val="23"/>
        </w:rPr>
        <w:t>Sources of capital &amp; SBA guaranty</w:t>
      </w:r>
    </w:p>
    <w:p>
      <w:r>
        <w:rPr>
          <w:b w:val="0"/>
          <w:i w:val="0"/>
          <w:sz w:val="21"/>
        </w:rPr>
        <w:t>The $1.05M project is funded by the $500,000 SBA 7(a) loan, the $300,000 seller note (self-financing the license), and a $250,000 cash equity injection contributed by investor James E. Bullard in exchange for a direct 19.9% membership interest. The injection equals 23.8% of total project cost - more than double the 10% minimum required under SBA SOP 50 10 8 for a complete change of ownership. Mr. Bullard's funds are his own savings (non-borrowed), verified by his bank statements; $100,000 was wired on May 7, 2026 and the balance funds by the end of July 2026. Because he holds less than 20% and exercises no operational control, no personal guaranty is required of him (13 CFR 120.160). The Managing Member (Geoff Schackmann, via Adeline &amp; Lilah, LLC) is the sole 20%+ owner and provides the SBA personal guaranty.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Large capital cushion - $672K opening cash; $100K WC line never drawn in base case</w:t>
      </w:r>
    </w:p>
    <w:p>
      <w:r>
        <w:rPr>
          <w:b w:val="0"/>
          <w:i w:val="0"/>
          <w:sz w:val="21"/>
        </w:rPr>
        <w:t xml:space="preserve">  - Combined DSCR rises 1.56x -&gt; 5.20x across the plan; meaningful $250K cash equity injection</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Carries two debt layers (SBA + seller note) in Years 1-3, compressing Year-1 coverage vs. a single-loan structure</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Seller note ($300K, 36 mo) adds debt service in Years 1-3; coverage strengthens sharply once it retires</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19.9%</w:t>
            </w:r>
          </w:p>
        </w:tc>
        <w:tc>
          <w:tcPr>
            <w:tcW w:type="dxa" w:w="2304"/>
          </w:tcPr>
          <w:p>
            <w:r/>
            <w:r>
              <w:rPr>
                <w:sz w:val="19"/>
              </w:rPr>
              <w:t>No operational role</w:t>
            </w:r>
          </w:p>
        </w:tc>
      </w:tr>
    </w:tbl>
    <w:p>
      <w:r>
        <w:rPr>
          <w:b w:val="0"/>
          <w:i w:val="0"/>
          <w:sz w:val="21"/>
        </w:rPr>
        <w:t>Tyler Hospice HoldCo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subject to milestone-based forfeiture conditions that lapse as the business achieves financial performance: 25% on the first month of Breakeven (EBITDA &gt;= 0), 50% on three consecutive Profitable months, and the final 25% on twelve consecutive Profitable months. Each grantee files a timely IRC Section 83(b) election. Unvested interests are forfeited on departure prior to milestone lapse, aligning operator equity with the credit's performance.</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HoldCo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19.9% membership interest acquired for a $250,000 cash capital contribution (his own savings). He holds customary protective minority rights (information rights, anti-dilution with a 19.9%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purchase is seller-financed via a $300,000 note (36 months at 6%).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$250,000 in three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combined DSCR &gt; 1.25x and rising</w:t>
            </w:r>
          </w:p>
        </w:tc>
      </w:tr>
    </w:tbl>
    <w:p>
      <w:r>
        <w:rPr>
          <w:b w:val="0"/>
          <w:i/>
          <w:sz w:val="19"/>
        </w:rPr>
        <w:t>SBA disbursement is sequenced to occur with the full $250,000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w:t>
            </w:r>
          </w:p>
        </w:tc>
        <w:tc>
          <w:tcPr>
            <w:tcW w:type="dxa" w:w="1584"/>
          </w:tcPr>
          <w:p>
            <w:r/>
            <w:r>
              <w:rPr>
                <w:sz w:val="19"/>
              </w:rPr>
              <w:t>$500,000</w:t>
            </w:r>
          </w:p>
        </w:tc>
        <w:tc>
          <w:tcPr>
            <w:tcW w:type="dxa" w:w="3744"/>
          </w:tcPr>
          <w:p>
            <w:r/>
            <w:r>
              <w:rPr>
                <w:sz w:val="19"/>
              </w:rPr>
              <w:t>Hickory Medicare license (CHOW)</w:t>
            </w:r>
          </w:p>
        </w:tc>
        <w:tc>
          <w:tcPr>
            <w:tcW w:type="dxa" w:w="1584"/>
          </w:tcPr>
          <w:p>
            <w:r/>
            <w:r>
              <w:rPr>
                <w:sz w:val="19"/>
              </w:rPr>
              <w:t>$300,000</w:t>
            </w:r>
          </w:p>
        </w:tc>
      </w:tr>
      <w:tr>
        <w:tc>
          <w:tcPr>
            <w:tcW w:type="dxa" w:w="3168"/>
          </w:tcPr>
          <w:p>
            <w:r/>
            <w:r>
              <w:rPr>
                <w:sz w:val="19"/>
              </w:rPr>
              <w:t>Hickory license seller note</w:t>
            </w:r>
          </w:p>
        </w:tc>
        <w:tc>
          <w:tcPr>
            <w:tcW w:type="dxa" w:w="1584"/>
          </w:tcPr>
          <w:p>
            <w:r/>
            <w:r>
              <w:rPr>
                <w:sz w:val="19"/>
              </w:rPr>
              <w:t>$300,000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t>Cash equity injection (Bullard)</w:t>
            </w:r>
          </w:p>
        </w:tc>
        <w:tc>
          <w:tcPr>
            <w:tcW w:type="dxa" w:w="1584"/>
          </w:tcPr>
          <w:p>
            <w:r/>
            <w:r>
              <w:rPr>
                <w:sz w:val="19"/>
              </w:rPr>
              <w:t>$250,000</w:t>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$672,000</w:t>
            </w:r>
          </w:p>
        </w:tc>
      </w:tr>
      <w:tr>
        <w:tc>
          <w:tcPr>
            <w:tcW w:type="dxa" w:w="3168"/>
          </w:tcPr>
          <w:p>
            <w:r/>
            <w:r>
              <w:rPr>
                <w:sz w:val="19"/>
              </w:rPr>
              <w:t>Total sources</w:t>
            </w:r>
          </w:p>
        </w:tc>
        <w:tc>
          <w:tcPr>
            <w:tcW w:type="dxa" w:w="1584"/>
          </w:tcPr>
          <w:p>
            <w:r/>
            <w:r>
              <w:rPr>
                <w:sz w:val="19"/>
              </w:rPr>
              <w:t>$1,050,000</w:t>
            </w:r>
          </w:p>
        </w:tc>
        <w:tc>
          <w:tcPr>
            <w:tcW w:type="dxa" w:w="3744"/>
          </w:tcPr>
          <w:p>
            <w:r/>
            <w:r>
              <w:rPr>
                <w:sz w:val="19"/>
              </w:rPr>
              <w:t>Total uses</w:t>
            </w:r>
          </w:p>
        </w:tc>
        <w:tc>
          <w:tcPr>
            <w:tcW w:type="dxa" w:w="1584"/>
          </w:tcPr>
          <w:p>
            <w:r/>
            <w:r>
              <w:rPr>
                <w:sz w:val="19"/>
              </w:rPr>
              <w:t>$1,050,000</w:t>
            </w:r>
          </w:p>
        </w:tc>
      </w:tr>
    </w:tbl>
    <w:p>
      <w:r>
        <w:rPr>
          <w:b w:val="0"/>
          <w:i w:val="0"/>
          <w:sz w:val="21"/>
        </w:rPr>
        <w:t>The license is seller-financed, so no cash leaves at close for the purchase - preserving the working-capital reserve. A $100,000 working-capital line at 10.5% APR is available and undrawn in the base case.</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$500,000 - 11.5% APR - 120 mo - $7,029.77/mo</w:t>
            </w:r>
          </w:p>
        </w:tc>
      </w:tr>
      <w:tr>
        <w:tc>
          <w:tcPr>
            <w:tcW w:type="dxa" w:w="3744"/>
          </w:tcPr>
          <w:p>
            <w:r/>
            <w:r>
              <w:rPr>
                <w:sz w:val="19"/>
              </w:rPr>
              <w:t>Seller note (Hickory license)</w:t>
            </w:r>
          </w:p>
        </w:tc>
        <w:tc>
          <w:tcPr>
            <w:tcW w:type="dxa" w:w="5760"/>
          </w:tcPr>
          <w:p>
            <w:r/>
            <w:r>
              <w:rPr>
                <w:sz w:val="19"/>
              </w:rPr>
              <w:t>$300,000 - 6% - 36 mo - $9,126.58/mo</w:t>
            </w:r>
          </w:p>
        </w:tc>
      </w:tr>
      <w:tr>
        <w:tc>
          <w:tcPr>
            <w:tcW w:type="dxa" w:w="3744"/>
          </w:tcPr>
          <w:p>
            <w:r/>
            <w:r>
              <w:rPr>
                <w:sz w:val="19"/>
              </w:rPr>
              <w:t>Equity / WC line</w:t>
            </w:r>
          </w:p>
        </w:tc>
        <w:tc>
          <w:tcPr>
            <w:tcW w:type="dxa" w:w="5760"/>
          </w:tcPr>
          <w:p>
            <w:r/>
            <w:r>
              <w:rPr>
                <w:sz w:val="19"/>
              </w:rPr>
              <w:t>$250,000 / $100,000 @ 10.5%</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w:t>
            </w:r>
          </w:p>
        </w:tc>
        <w:tc>
          <w:tcPr>
            <w:tcW w:type="dxa" w:w="5760"/>
          </w:tcPr>
          <w:p>
            <w:r/>
            <w:r>
              <w:rPr>
                <w:sz w:val="19"/>
              </w:rPr>
              <w:t>$672,000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(SBA + seller note)</w:t>
            </w:r>
          </w:p>
        </w:tc>
        <w:tc>
          <w:tcPr>
            <w:tcW w:type="dxa" w:w="2016"/>
          </w:tcPr>
          <w:p>
            <w:r/>
            <w:r>
              <w:rPr>
                <w:sz w:val="19"/>
              </w:rPr>
              <w:t>$71,479</w:t>
            </w:r>
          </w:p>
        </w:tc>
        <w:tc>
          <w:tcPr>
            <w:tcW w:type="dxa" w:w="2016"/>
          </w:tcPr>
          <w:p>
            <w:r/>
            <w:r>
              <w:rPr>
                <w:sz w:val="19"/>
              </w:rPr>
              <w:t>$62,558</w:t>
            </w:r>
          </w:p>
        </w:tc>
        <w:tc>
          <w:tcPr>
            <w:tcW w:type="dxa" w:w="2016"/>
          </w:tcPr>
          <w:p>
            <w:r/>
            <w:r>
              <w:rPr>
                <w:sz w:val="19"/>
              </w:rPr>
              <w:t>$52,623</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$190,032</w:t>
            </w:r>
          </w:p>
        </w:tc>
        <w:tc>
          <w:tcPr>
            <w:tcW w:type="dxa" w:w="2016"/>
          </w:tcPr>
          <w:p>
            <w:r/>
            <w:r>
              <w:rPr>
                <w:sz w:val="19"/>
              </w:rPr>
              <w:t>$571,134</w:t>
            </w:r>
          </w:p>
        </w:tc>
        <w:tc>
          <w:tcPr>
            <w:tcW w:type="dxa" w:w="2016"/>
          </w:tcPr>
          <w:p>
            <w:r/>
            <w:r>
              <w:rPr>
                <w:sz w:val="19"/>
              </w:rPr>
              <w:t>$905,290</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(combined)</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below floor - 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clears 1.25x</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clears 1.25x</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clears 1.25x</w:t>
            </w:r>
          </w:p>
        </w:tc>
      </w:tr>
    </w:tbl>
    <w:p>
      <w:r>
        <w:rPr>
          <w:b w:val="0"/>
          <w:i w:val="0"/>
          <w:sz w:val="21"/>
        </w:rPr>
        <w:t>DSCR here is on combined debt service (SBA loan + seller note = $16,156/month). Month 1 is the transition month (partial census at 12 ADC) and is fully absorbed by the $672K opening cash reserve; coverage clears the 1.25x floor on a sustained basis as census stabilizes around the validated ~22 ADC. On an annual basis Year 1 covers at 1.56x.</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Debt service - SBA</w:t>
            </w:r>
          </w:p>
        </w:tc>
        <w:tc>
          <w:tcPr>
            <w:tcW w:type="dxa" w:w="2016"/>
          </w:tcPr>
          <w:p>
            <w:r/>
            <w:r>
              <w:rPr>
                <w:sz w:val="19"/>
              </w:rPr>
              <w:t>$84,357</w:t>
            </w:r>
          </w:p>
        </w:tc>
        <w:tc>
          <w:tcPr>
            <w:tcW w:type="dxa" w:w="2016"/>
          </w:tcPr>
          <w:p>
            <w:r/>
            <w:r>
              <w:rPr>
                <w:sz w:val="19"/>
              </w:rPr>
              <w:t>$84,357</w:t>
            </w:r>
          </w:p>
        </w:tc>
        <w:tc>
          <w:tcPr>
            <w:tcW w:type="dxa" w:w="2016"/>
          </w:tcPr>
          <w:p>
            <w:r/>
            <w:r>
              <w:rPr>
                <w:sz w:val="19"/>
              </w:rPr>
              <w:t>$84,357</w:t>
            </w:r>
          </w:p>
        </w:tc>
      </w:tr>
      <w:tr>
        <w:tc>
          <w:tcPr>
            <w:tcW w:type="dxa" w:w="3744"/>
          </w:tcPr>
          <w:p>
            <w:r/>
            <w:r>
              <w:rPr>
                <w:sz w:val="19"/>
              </w:rPr>
              <w:t>Debt service - seller note</w:t>
            </w:r>
          </w:p>
        </w:tc>
        <w:tc>
          <w:tcPr>
            <w:tcW w:type="dxa" w:w="2016"/>
          </w:tcPr>
          <w:p>
            <w:r/>
            <w:r>
              <w:rPr>
                <w:sz w:val="19"/>
              </w:rPr>
              <w:t>$109,519</w:t>
            </w:r>
          </w:p>
        </w:tc>
        <w:tc>
          <w:tcPr>
            <w:tcW w:type="dxa" w:w="2016"/>
          </w:tcPr>
          <w:p>
            <w:r/>
            <w:r>
              <w:rPr>
                <w:sz w:val="19"/>
              </w:rPr>
              <w:t>$109,519</w:t>
            </w:r>
          </w:p>
        </w:tc>
        <w:tc>
          <w:tcPr>
            <w:tcW w:type="dxa" w:w="2016"/>
          </w:tcPr>
          <w:p>
            <w:r/>
            <w:r>
              <w:rPr>
                <w:sz w:val="19"/>
              </w:rPr>
              <w:t>$109,519</w:t>
            </w:r>
          </w:p>
        </w:tc>
      </w:tr>
      <w:tr>
        <w:tc>
          <w:tcPr>
            <w:tcW w:type="dxa" w:w="3744"/>
          </w:tcPr>
          <w:p>
            <w:r/>
            <w:r>
              <w:rPr>
                <w:sz w:val="19"/>
              </w:rPr>
              <w:t>Combined debt service</w:t>
            </w:r>
          </w:p>
        </w:tc>
        <w:tc>
          <w:tcPr>
            <w:tcW w:type="dxa" w:w="2016"/>
          </w:tcPr>
          <w:p>
            <w:r/>
            <w:r>
              <w:rPr>
                <w:sz w:val="19"/>
              </w:rPr>
              <w:t>$193,876</w:t>
            </w:r>
          </w:p>
        </w:tc>
        <w:tc>
          <w:tcPr>
            <w:tcW w:type="dxa" w:w="2016"/>
          </w:tcPr>
          <w:p>
            <w:r/>
            <w:r>
              <w:rPr>
                <w:sz w:val="19"/>
              </w:rPr>
              <w:t>$193,876</w:t>
            </w:r>
          </w:p>
        </w:tc>
        <w:tc>
          <w:tcPr>
            <w:tcW w:type="dxa" w:w="2016"/>
          </w:tcPr>
          <w:p>
            <w:r/>
            <w:r>
              <w:rPr>
                <w:sz w:val="19"/>
              </w:rPr>
              <w:t>$193,876</w:t>
            </w:r>
          </w:p>
        </w:tc>
      </w:tr>
      <w:tr>
        <w:tc>
          <w:tcPr>
            <w:tcW w:type="dxa" w:w="3744"/>
          </w:tcPr>
          <w:p>
            <w:r/>
            <w:r>
              <w:rPr>
                <w:sz w:val="19"/>
              </w:rPr>
              <w:t>Combined DSCR</w:t>
            </w:r>
          </w:p>
        </w:tc>
        <w:tc>
          <w:tcPr>
            <w:tcW w:type="dxa" w:w="2016"/>
          </w:tcPr>
          <w:p>
            <w:r/>
            <w:r>
              <w:rPr>
                <w:sz w:val="19"/>
              </w:rPr>
              <w:t>1.56x</w:t>
            </w:r>
          </w:p>
        </w:tc>
        <w:tc>
          <w:tcPr>
            <w:tcW w:type="dxa" w:w="2016"/>
          </w:tcPr>
          <w:p>
            <w:r/>
            <w:r>
              <w:rPr>
                <w:sz w:val="19"/>
              </w:rPr>
              <w:t>3.50x</w:t>
            </w:r>
          </w:p>
        </w:tc>
        <w:tc>
          <w:tcPr>
            <w:tcW w:type="dxa" w:w="2016"/>
          </w:tcPr>
          <w:p>
            <w:r/>
            <w:r>
              <w:rPr>
                <w:sz w:val="19"/>
              </w:rPr>
              <w:t>5.20x</w:t>
            </w:r>
          </w:p>
        </w:tc>
      </w:tr>
      <w:tr>
        <w:tc>
          <w:tcPr>
            <w:tcW w:type="dxa" w:w="3744"/>
          </w:tcPr>
          <w:p>
            <w:r/>
            <w:r>
              <w:rPr>
                <w:sz w:val="19"/>
              </w:rPr>
              <w:t>Net income</w:t>
            </w:r>
          </w:p>
        </w:tc>
        <w:tc>
          <w:tcPr>
            <w:tcW w:type="dxa" w:w="2016"/>
          </w:tcPr>
          <w:p>
            <w:r/>
            <w:r>
              <w:rPr>
                <w:sz w:val="19"/>
              </w:rPr>
              <w:t>$190,032</w:t>
            </w:r>
          </w:p>
        </w:tc>
        <w:tc>
          <w:tcPr>
            <w:tcW w:type="dxa" w:w="2016"/>
          </w:tcPr>
          <w:p>
            <w:r/>
            <w:r>
              <w:rPr>
                <w:sz w:val="19"/>
              </w:rPr>
              <w:t>$571,134</w:t>
            </w:r>
          </w:p>
        </w:tc>
        <w:tc>
          <w:tcPr>
            <w:tcW w:type="dxa" w:w="2016"/>
          </w:tcPr>
          <w:p>
            <w:r/>
            <w:r>
              <w:rPr>
                <w:sz w:val="19"/>
              </w:rPr>
              <w:t>$905,290</w:t>
            </w:r>
          </w:p>
        </w:tc>
      </w:tr>
    </w:tbl>
    <w:p>
      <w:r>
        <w:rPr>
          <w:b w:val="0"/>
          <w:i w:val="0"/>
          <w:sz w:val="21"/>
        </w:rPr>
        <w:t>Global 3-year combined DSCR: 3.42x (vs. 1.25x floor). Combined debt service is $16,156/month ($193,876/year): SBA 7(a) $7,029.77/mo plus the seller note $9,126.58/mo. The operation clears the 1.25x floor on an annual basis in every year, and combined coverage rises sharply as census builds - springing to roughly 12x on the SBA loan alone once the seller note retires at the end of Year 3. Break-even is approximately 16 ADC, below the validated opening census of ~22 ADC, so the operation is profitable on the opening book.</w:t>
      </w:r>
    </w:p>
    <w:p>
      <w:r>
        <w:rPr>
          <w:b/>
          <w:color w:val="1F3864"/>
          <w:sz w:val="23"/>
        </w:rPr>
        <w:t>11.7 Stress tests (Year-2 steady state, combined debt service,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3.50x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$2,182,914</w:t>
            </w:r>
          </w:p>
        </w:tc>
        <w:tc>
          <w:tcPr>
            <w:tcW w:type="dxa" w:w="1872"/>
          </w:tcPr>
          <w:p>
            <w:r/>
            <w:r>
              <w:rPr>
                <w:sz w:val="19"/>
              </w:rPr>
              <w:t>~$196,600</w:t>
            </w:r>
          </w:p>
        </w:tc>
        <w:tc>
          <w:tcPr>
            <w:tcW w:type="dxa" w:w="1296"/>
          </w:tcPr>
          <w:p>
            <w:r/>
            <w:r>
              <w:rPr>
                <w:sz w:val="19"/>
              </w:rPr>
              <w:t>~1.01x</w:t>
            </w:r>
          </w:p>
        </w:tc>
        <w:tc>
          <w:tcPr>
            <w:tcW w:type="dxa" w:w="1296"/>
          </w:tcPr>
          <w:p>
            <w:r/>
            <w:r>
              <w:rPr>
                <w:sz w:val="19"/>
              </w:rPr>
              <w:t>Marginal</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~($165,700)</w:t>
            </w:r>
          </w:p>
        </w:tc>
        <w:tc>
          <w:tcPr>
            <w:tcW w:type="dxa" w:w="1296"/>
          </w:tcPr>
          <w:p>
            <w:r/>
            <w:r>
              <w:rPr>
                <w:sz w:val="19"/>
              </w:rPr>
              <w:t>&lt;0</w:t>
            </w:r>
          </w:p>
        </w:tc>
        <w:tc>
          <w:tcPr>
            <w:tcW w:type="dxa" w:w="1296"/>
          </w:tcPr>
          <w:p>
            <w:r/>
            <w:r>
              <w:rPr>
                <w:sz w:val="19"/>
              </w:rPr>
              <w:t>No</w:t>
            </w:r>
          </w:p>
        </w:tc>
      </w:tr>
      <w:tr>
        <w:tc>
          <w:tcPr>
            <w:tcW w:type="dxa" w:w="3456"/>
          </w:tcPr>
          <w:p>
            <w:r/>
            <w:r>
              <w:rPr>
                <w:sz w:val="19"/>
              </w:rPr>
              <w:t>Wage +10%</w:t>
            </w:r>
          </w:p>
        </w:tc>
        <w:tc>
          <w:tcPr>
            <w:tcW w:type="dxa" w:w="2016"/>
          </w:tcPr>
          <w:p>
            <w:r/>
            <w:r>
              <w:rPr>
                <w:sz w:val="19"/>
              </w:rPr>
              <w:t>$2,728,642</w:t>
            </w:r>
          </w:p>
        </w:tc>
        <w:tc>
          <w:tcPr>
            <w:tcW w:type="dxa" w:w="1872"/>
          </w:tcPr>
          <w:p>
            <w:r/>
            <w:r>
              <w:rPr>
                <w:sz w:val="19"/>
              </w:rPr>
              <w:t>~$510,800</w:t>
            </w:r>
          </w:p>
        </w:tc>
        <w:tc>
          <w:tcPr>
            <w:tcW w:type="dxa" w:w="1296"/>
          </w:tcPr>
          <w:p>
            <w:r/>
            <w:r>
              <w:rPr>
                <w:sz w:val="19"/>
              </w:rPr>
              <w:t>2.63x</w:t>
            </w:r>
          </w:p>
        </w:tc>
        <w:tc>
          <w:tcPr>
            <w:tcW w:type="dxa" w:w="1296"/>
          </w:tcPr>
          <w:p>
            <w:r/>
            <w:r>
              <w:rPr>
                <w:sz w:val="19"/>
              </w:rPr>
              <w:t>Yes</w:t>
            </w:r>
          </w:p>
        </w:tc>
      </w:tr>
      <w:tr>
        <w:tc>
          <w:tcPr>
            <w:tcW w:type="dxa" w:w="3456"/>
          </w:tcPr>
          <w:p>
            <w:r/>
            <w:r>
              <w:rPr>
                <w:sz w:val="19"/>
              </w:rPr>
              <w:t>Combined (-20% census / +10% wage)</w:t>
            </w:r>
          </w:p>
        </w:tc>
        <w:tc>
          <w:tcPr>
            <w:tcW w:type="dxa" w:w="2016"/>
          </w:tcPr>
          <w:p>
            <w:r/>
            <w:r>
              <w:rPr>
                <w:sz w:val="19"/>
              </w:rPr>
              <w:t>$2,182,914</w:t>
            </w:r>
          </w:p>
        </w:tc>
        <w:tc>
          <w:tcPr>
            <w:tcW w:type="dxa" w:w="1872"/>
          </w:tcPr>
          <w:p>
            <w:r/>
            <w:r>
              <w:rPr>
                <w:sz w:val="19"/>
              </w:rPr>
              <w:t>~$27,900</w:t>
            </w:r>
          </w:p>
        </w:tc>
        <w:tc>
          <w:tcPr>
            <w:tcW w:type="dxa" w:w="1296"/>
          </w:tcPr>
          <w:p>
            <w:r/>
            <w:r>
              <w:rPr>
                <w:sz w:val="19"/>
              </w:rPr>
              <w:t>~0.14x</w:t>
            </w:r>
          </w:p>
        </w:tc>
        <w:tc>
          <w:tcPr>
            <w:tcW w:type="dxa" w:w="1296"/>
          </w:tcPr>
          <w:p>
            <w:r/>
            <w:r>
              <w:rPr>
                <w:sz w:val="19"/>
              </w:rPr>
              <w:t>No</w:t>
            </w:r>
          </w:p>
        </w:tc>
      </w:tr>
    </w:tbl>
    <w:p>
      <w:r>
        <w:rPr>
          <w:b w:val="0"/>
          <w:i w:val="0"/>
          <w:sz w:val="21"/>
        </w:rPr>
        <w:t>Reading the stress tests - honest framing. This is a deliberately severe static sensitivity: revenue and variable costs scale with the census shock, but the full Year-2 salaried roster is held constant and both debt layers are carried simultaneously. On this basis the base case covers at 3.50x and a +10% wage shock still clears at 2.63x, but a sustained 20% census shortfall lands only marginally at ~1.01x and the severe combined case does not clear. Three points matter for the credit: (1) the roster is census-driven - the capacity RN/CNA and core-IDG hires only load in as ADC crosses their triggers, so a 20-35% lower census would carry a materially lighter cost base than this static test assumes; (2) the binding variable is census, which is why opening census is the validated ~22 ADC book (break-even ~16 ADC) grown by an experienced team's referral pipeline, not a cold start; and (3) liquidity is the core protection - the $672K opening reserve and the undrawn $100K working-capital line cover timing shortfalls, and the seller note retires after Year 3, lifting SBA-only coverage dramatically. A detailed Year-1 single-factor and combined sensitivity is provided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dual debt load (SBA + seller note in Years 1-3) and the census ramp - both mitigated by validated, benchmarked economics, a CHOW that keeps the agency billing from day one, and a deliberately over-capitalized structure relative to operating need.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Dual debt service (Yrs 1-3)</w:t>
            </w:r>
          </w:p>
        </w:tc>
        <w:tc>
          <w:tcPr>
            <w:tcW w:type="dxa" w:w="864"/>
          </w:tcPr>
          <w:p>
            <w:r/>
            <w:r>
              <w:rPr>
                <w:sz w:val="19"/>
              </w:rPr>
              <w:t>Med</w:t>
            </w:r>
          </w:p>
        </w:tc>
        <w:tc>
          <w:tcPr>
            <w:tcW w:type="dxa" w:w="864"/>
          </w:tcPr>
          <w:p>
            <w:r/>
            <w:r>
              <w:rPr>
                <w:sz w:val="19"/>
              </w:rPr>
              <w:t>Med</w:t>
            </w:r>
          </w:p>
        </w:tc>
        <w:tc>
          <w:tcPr>
            <w:tcW w:type="dxa" w:w="5184"/>
          </w:tcPr>
          <w:p>
            <w:r/>
            <w:r>
              <w:rPr>
                <w:sz w:val="19"/>
              </w:rPr>
              <w:t>Combined DSCR clears the 1.25x floor annually and rises 1.56x -&gt; 5.20x; seller note retires after Year 3, lifting SBA-only coverage to ~12x</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$672K reserve + $100K line fund any claims-processing pause</w:t>
            </w:r>
          </w:p>
        </w:tc>
      </w:tr>
      <w:tr>
        <w:tc>
          <w:tcPr>
            <w:tcW w:type="dxa" w:w="2448"/>
          </w:tcPr>
          <w:p>
            <w:r/>
            <w:r>
              <w:rPr>
                <w:sz w:val="19"/>
              </w:rPr>
              <w:t>Slower census ramp</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liquidity covers timing shortfalls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wage shock holds at 2.63x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by 7/31; SBA disbursement sequenced after full injection per SOP 50 10 8</w:t>
            </w:r>
          </w:p>
        </w:tc>
      </w:tr>
    </w:tbl>
    <w:p>
      <w:r>
        <w:rPr>
          <w:b w:val="0"/>
          <w:i w:val="0"/>
          <w:sz w:val="21"/>
        </w:rPr>
        <w:t>The credit's core protection is liquidity, not optimism: $672,000 of opening cash and an undrawn $100,000 line keep Azalea solvent through the modeled scenarios - even while carrying both the SBA loan and the seller note at once.</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$250K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combined DSCR &gt;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to ~5x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CHOW acquisition and relaunch of an established, Medicare-certified hospice on validated economics, led by an experienced local team. The credit rests on three verifiable points: (1) the acquired book's actual operating results, which the opening steady-state model reconciles to within ~2%; (2) a base case whose combined DSCR clears the 1.25x floor and strengthens every year (1.56x -&gt; 3.50x -&gt; 5.20x; global 3.42x); and (3) a deliberately over-capitalized structure - $250K cash equity, $300K of seller risk retained in the note, and a $672K opening reserve - that keeps liquidity intact through stress scenarios, with the working-capital line never drawn in the base case. The binding risk is a sustained census shortfall, mitigated by a validated opening book above break-even, a census-driven cost structure, and substantial liquidity.</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