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7/16/2026</w:t>
      </w:r>
    </w:p>
    <w:p>
      <w:r>
        <w:rPr>
          <w:b w:val="0"/>
          <w:sz w:val="20"/>
        </w:rPr>
        <w:t>Request: $500,000 SBA 7(a) - retires the Refuge Hospice seller balance (Sept 2026) + ramp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Refuge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balance sheet + P&amp;L, month-end not older than 60 days. Request via Ann/sellers.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returns (2023, 2024, 2025) - company was certified 1/2024, so all applicable years.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$375K seller note (terms per MIPA). Copy of the seller note/MIPA to accompany it.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is ready-to-bill with minimal operations - listing may legitimately be near-zero;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MIPA Rev 1.00 (7/15/2026, redline in negotiation): $500K; $125K down ~8/1 (49%); $375K @ 6%, $31,250/mo from 9/1; ~$258,489.46 final 1/15/2027; prepayable without penalty.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 - UPDATE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exists but is written around the prior Hickory target; Refuge addendum attached now, full rewrite to follow.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3.00 dynamic proforma (36 monthly periods, QA 20/20)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 lease or LOI, loan-term with options.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sellers' entity (Refuge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(with Medicaid room &amp; board) - i.e.,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Medicare+Medicaid hospice license itself is a scarce, marketable asset in Texas (comparable licenses trade at $400-500K;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~31% of the project ($235K of $750K), sized to cover ramp payroll ahead of the Medicare payment lag (NOE-to-cash ~30-60 days) per the monthly cash-flow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