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13387 Hwy 69 N, Tyler, TX (principal office)</w:t>
      </w:r>
    </w:p>
    <w:p>
      <w:r>
        <w:rPr>
          <w:b/>
        </w:rPr>
        <w:t xml:space="preserve">City / County / State / Zip:  </w:t>
      </w:r>
      <w:r>
        <w:t>Tyler / Smith / TX / __________ (to provide) (zip)</w:t>
      </w:r>
    </w:p>
    <w:p>
      <w:r>
        <w:rPr>
          <w:b/>
        </w:rPr>
        <w:t xml:space="preserve">Contact / Phone / Fax:  </w:t>
      </w:r>
      <w:r>
        <w:t>Geoff Schackmann, Managing Member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19.9%*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19.9%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$250,000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subject to a 4-year vesting schedule with a 1-year cliff, recorded in the Operating Agreement. Unvested interests are subject to repurchase by the Company at $0 upon departure prior to the cliff.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 LLC. As Geoff's spouse, she will sign the customary spouse acknowledgement / consent on the personal guaranty at close. Unissued/reserved pool: 0.3%.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