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$500,000</w:t>
            </w:r>
          </w:p>
        </w:tc>
        <w:tc>
          <w:tcPr>
            <w:tcW w:type="dxa" w:w="1584"/>
          </w:tcPr>
          <w:p>
            <w:r/>
            <w:r>
              <w:rPr>
                <w:sz w:val="19"/>
              </w:rPr>
              <w:t>66.7%</w:t>
            </w:r>
          </w:p>
        </w:tc>
        <w:tc>
          <w:tcPr>
            <w:tcW w:type="dxa" w:w="2592"/>
          </w:tcPr>
          <w:p>
            <w:r/>
            <w:r>
              <w:rPr>
                <w:sz w:val="19"/>
              </w:rPr>
              <w:t>Senior debt (only debt the business carries)</w:t>
            </w:r>
          </w:p>
        </w:tc>
      </w:tr>
      <w:tr>
        <w:tc>
          <w:tcPr>
            <w:tcW w:type="dxa" w:w="4608"/>
          </w:tcPr>
          <w:p>
            <w:r/>
            <w:r>
              <w:rPr>
                <w:sz w:val="19"/>
              </w:rPr>
              <w:t>Equity injection - cash (James Bullard, 19.9% member)</w:t>
            </w:r>
          </w:p>
        </w:tc>
        <w:tc>
          <w:tcPr>
            <w:tcW w:type="dxa" w:w="1584"/>
          </w:tcPr>
          <w:p>
            <w:r/>
            <w:r>
              <w:rPr>
                <w:sz w:val="19"/>
              </w:rPr>
              <w:t>$250,000</w:t>
            </w:r>
          </w:p>
        </w:tc>
        <w:tc>
          <w:tcPr>
            <w:tcW w:type="dxa" w:w="1584"/>
          </w:tcPr>
          <w:p>
            <w:r/>
            <w:r>
              <w:rPr>
                <w:sz w:val="19"/>
              </w:rPr>
              <w:t>33.3%</w:t>
            </w:r>
          </w:p>
        </w:tc>
        <w:tc>
          <w:tcPr>
            <w:tcW w:type="dxa" w:w="2592"/>
          </w:tcPr>
          <w:p>
            <w:r/>
            <w:r>
              <w:rPr>
                <w:sz w:val="19"/>
              </w:rPr>
              <w:t>Qualifying equity injection</w:t>
            </w:r>
          </w:p>
        </w:tc>
      </w:tr>
      <w:tr>
        <w:tc>
          <w:tcPr>
            <w:tcW w:type="dxa" w:w="4608"/>
          </w:tcPr>
          <w:p>
            <w:r/>
            <w:r>
              <w:rPr>
                <w:sz w:val="19"/>
              </w:rPr>
              <w:t>Total project cost</w:t>
            </w:r>
          </w:p>
        </w:tc>
        <w:tc>
          <w:tcPr>
            <w:tcW w:type="dxa" w:w="1584"/>
          </w:tcPr>
          <w:p>
            <w:r/>
            <w:r>
              <w:rPr>
                <w:sz w:val="19"/>
              </w:rPr>
              <w:t>$750,000</w:t>
            </w:r>
          </w:p>
        </w:tc>
        <w:tc>
          <w:tcPr>
            <w:tcW w:type="dxa" w:w="1584"/>
          </w:tcPr>
          <w:p>
            <w:r/>
            <w:r>
              <w:rPr>
                <w:sz w:val="19"/>
              </w:rPr>
              <w:t>100%</w:t>
            </w:r>
          </w:p>
        </w:tc>
        <w:tc>
          <w:tcPr>
            <w:tcW w:type="dxa" w:w="2592"/>
          </w:tcPr>
          <w:p>
            <w:r/>
            <w:r>
              <w:rPr>
                <w:sz w:val="19"/>
              </w:rPr>
              <w:t>Seller paid in full at close (no retained note)</w:t>
            </w:r>
          </w:p>
        </w:tc>
      </w:tr>
    </w:tbl>
    <w:p>
      <w:r>
        <w:rPr>
          <w:b/>
          <w:color w:val="1F3864"/>
          <w:sz w:val="23"/>
        </w:rPr>
        <w:t>1. The injection is more than triple the 10% minimum</w:t>
      </w:r>
    </w:p>
    <w:p>
      <w:r>
        <w:rPr>
          <w:b w:val="0"/>
          <w:i w:val="0"/>
          <w:sz w:val="21"/>
        </w:rPr>
        <w:t>SOP 50 10 8 requires a minimum equity injection of at least 10% of total project cost for a startup / complete change of ownership - here, $75,000. The transaction injects $250,000 of cash equity (33.3% of project cost), comfortably above the floor and above the ~30% down typically warranted for a startup.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3</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3</w:t>
            </w:r>
          </w:p>
        </w:tc>
        <w:tc>
          <w:tcPr>
            <w:tcW w:type="dxa" w:w="1728"/>
          </w:tcPr>
          <w:p>
            <w:r/>
            <w:r>
              <w:rPr>
                <w:sz w:val="19"/>
              </w:rPr>
              <w:t>June 2026</w:t>
            </w:r>
          </w:p>
        </w:tc>
        <w:tc>
          <w:tcPr>
            <w:tcW w:type="dxa" w:w="1728"/>
          </w:tcPr>
          <w:p>
            <w:r/>
            <w:r>
              <w:rPr>
                <w:sz w:val="19"/>
              </w:rPr>
              <w:t>(scheduled)</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3 of 3</w:t>
            </w:r>
          </w:p>
        </w:tc>
        <w:tc>
          <w:tcPr>
            <w:tcW w:type="dxa" w:w="1728"/>
          </w:tcPr>
          <w:p>
            <w:r/>
            <w:r>
              <w:rPr>
                <w:sz w:val="19"/>
              </w:rPr>
              <w:t>July 2026</w:t>
            </w:r>
          </w:p>
        </w:tc>
        <w:tc>
          <w:tcPr>
            <w:tcW w:type="dxa" w:w="1728"/>
          </w:tcPr>
          <w:p>
            <w:r/>
            <w:r>
              <w:rPr>
                <w:sz w:val="19"/>
              </w:rPr>
              <w:t>(scheduled)</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$250,000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$250,000 will be on deposit at the time of SBA loan disbursement, in compliance with SOP 50 10 8. No disbursement holdback is required, and no acceleration of tranches 2 and 3 is sought.</w:t>
      </w:r>
    </w:p>
    <w:p>
      <w:r>
        <w:rPr>
          <w:b/>
          <w:color w:val="1F3864"/>
          <w:sz w:val="23"/>
        </w:rPr>
        <w:t>2. Seller paid in full at close - no retained note</w:t>
      </w:r>
    </w:p>
    <w:p>
      <w:r>
        <w:rPr>
          <w:b w:val="0"/>
          <w:i w:val="0"/>
          <w:sz w:val="21"/>
        </w:rPr>
        <w:t>The $300,000 acquisition price is paid in full at close from SBA proceeds and the equity injection. There is no retained seller note, so the SBA loan is the only debt the business carries and Year-1 debt service is the SBA loan alone (~$84,357/yr). This produces strong coverage from Year 1 (DSCR ~3.59x) rather than the compressed coverage of a dual-debt (SBA + seller note) structure.</w:t>
      </w:r>
    </w:p>
    <w:p>
      <w:r>
        <w:rPr>
          <w:b/>
          <w:color w:val="1F3864"/>
          <w:sz w:val="23"/>
        </w:rPr>
        <w:t>3. The investor's equity qualifies without a personal guaranty</w:t>
      </w:r>
    </w:p>
    <w:p>
      <w:r>
        <w:rPr>
          <w:b w:val="0"/>
          <w:i w:val="0"/>
          <w:sz w:val="21"/>
        </w:rPr>
        <w:t>The $250,000 is contributed by James Bullard as a capital contribution in exchange for a direct, fully funded 19.9%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Personal 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disclosed</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Required - provided as the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James Bullard (passive investor, direct)</w:t>
            </w:r>
          </w:p>
        </w:tc>
        <w:tc>
          <w:tcPr>
            <w:tcW w:type="dxa" w:w="2304"/>
          </w:tcPr>
          <w:p>
            <w:r/>
            <w:r>
              <w:rPr>
                <w:sz w:val="19"/>
              </w:rPr>
              <w:t>19.9%</w:t>
            </w:r>
          </w:p>
        </w:tc>
        <w:tc>
          <w:tcPr>
            <w:tcW w:type="dxa" w:w="1152"/>
          </w:tcPr>
          <w:p>
            <w:r/>
            <w:r>
              <w:rPr>
                <w:sz w:val="19"/>
              </w:rPr>
              <w:t>No</w:t>
            </w:r>
          </w:p>
        </w:tc>
        <w:tc>
          <w:tcPr>
            <w:tcW w:type="dxa" w:w="2880"/>
          </w:tcPr>
          <w:p>
            <w:r/>
            <w:r>
              <w:rPr>
                <w:sz w:val="19"/>
              </w:rPr>
              <w:t>Not required (source-of-funds verification only)</w:t>
            </w:r>
          </w:p>
        </w:tc>
      </w:tr>
      <w:tr>
        <w:tc>
          <w:tcPr>
            <w:tcW w:type="dxa" w:w="4032"/>
          </w:tcPr>
          <w:p>
            <w:r/>
            <w:r>
              <w:rPr>
                <w:sz w:val="19"/>
              </w:rPr>
              <w:t>Silas R. Shelton</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