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$500,000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$500K SBA + $250K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7.86x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$250,000</w:t>
            </w:r>
          </w:p>
        </w:tc>
        <w:tc>
          <w:tcPr>
            <w:tcW w:type="dxa" w:w="5184"/>
          </w:tcPr>
          <w:p>
            <w:r/>
            <w:r>
              <w:rPr>
                <w:sz w:val="19"/>
              </w:rPr>
              <w:t>33.3% of project - 3.3x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$500,000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$250,000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$500K + Equity $250K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$205,473</w:t>
            </w:r>
          </w:p>
        </w:tc>
        <w:tc>
          <w:tcPr>
            <w:tcW w:type="dxa" w:w="2160"/>
          </w:tcPr>
          <w:p>
            <w:r/>
            <w:r>
              <w:rPr>
                <w:sz w:val="19"/>
              </w:rPr>
              <w:t>$581,088</w:t>
            </w:r>
          </w:p>
        </w:tc>
        <w:tc>
          <w:tcPr>
            <w:tcW w:type="dxa" w:w="2160"/>
          </w:tcPr>
          <w:p>
            <w:r/>
            <w:r>
              <w:rPr>
                <w:sz w:val="19"/>
              </w:rPr>
              <w:t>$909,160</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3.59x</w:t>
            </w:r>
          </w:p>
        </w:tc>
        <w:tc>
          <w:tcPr>
            <w:tcW w:type="dxa" w:w="2160"/>
          </w:tcPr>
          <w:p>
            <w:r/>
            <w:r>
              <w:rPr>
                <w:sz w:val="19"/>
              </w:rPr>
              <w:t>8.06x</w:t>
            </w:r>
          </w:p>
        </w:tc>
        <w:tc>
          <w:tcPr>
            <w:tcW w:type="dxa" w:w="2160"/>
          </w:tcPr>
          <w:p>
            <w:r/>
            <w:r>
              <w:rPr>
                <w:sz w:val="19"/>
              </w:rPr>
              <w:t>11.94x</w:t>
            </w:r>
          </w:p>
        </w:tc>
      </w:tr>
    </w:tbl>
    <w:p>
      <w:r>
        <w:rPr>
          <w:b w:val="0"/>
          <w:i w:val="0"/>
          <w:sz w:val="21"/>
        </w:rPr>
        <w:t>The operation is EBITDA-positive from early in the ramp. Because the seller is paid in full at close, the SBA loan is the only debt: against SBA debt service of $84,357/yr, the model clears a global 3-year DSCR of 7.86x - far above the 1.25x floor - and strengthens each year (3.59x -&gt; 8.06x -&gt; 11.94x).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19.9%</w:t>
            </w:r>
          </w:p>
        </w:tc>
        <w:tc>
          <w:tcPr>
            <w:tcW w:type="dxa" w:w="4896"/>
          </w:tcPr>
          <w:p>
            <w:r/>
            <w:r>
              <w:rPr>
                <w:sz w:val="19"/>
              </w:rPr>
              <w:t>Passive minority investor - $250,000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0.3%</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$500,000 SBA 7(a) loan and a $250,000 cash equity injection contributed by investor James E. Bullard in exchange for a direct 19.9% membership interest. The $300,000 acquisition price is paid in full at close from these sources - there is no retained seller note, so the SBA loan is the only debt the business carries. The injection equals 33.3% of total project cost - more than triple the 10% minimum required under SBA SOP 50 10 8 and above the ~30% down typically warranted for a startup.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3.59x -&gt; 11.94x across the plan; substantial $250K cash equity injection (33%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19.9%</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subject to milestone-based forfeiture conditions that lapse as the business achieves financial performance: 25% on the first month of Breakeven (EBITDA &gt;= 0), 50% on three consecutive Profitable months, and the final 25% on twelve consecutive Profitable months. Each grantee files a timely IRC Section 83(b) election. Unvested interests are forfeited on departure prior to milestone lapse, aligning operator equity with the credit's performance.</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19.9% membership interest acquired for a $250,000 cash capital contribution (his own savings). He holds customary protective minority rights (information rights, anti-dilution with a 19.9%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$250,000 in three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combined DSCR &gt; 1.25x and rising</w:t>
            </w:r>
          </w:p>
        </w:tc>
      </w:tr>
    </w:tbl>
    <w:p>
      <w:r>
        <w:rPr>
          <w:b w:val="0"/>
          <w:i/>
          <w:sz w:val="19"/>
        </w:rPr>
        <w:t>SBA disbursement is sequenced to occur with the full $250,000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$500,000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$250,000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$250,000 injection is 33.3%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$500,000 - 11.5% APR - 120 mo - $7,029.77/mo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$250,000 cash (33.3%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$56,038</w:t>
            </w:r>
          </w:p>
        </w:tc>
        <w:tc>
          <w:tcPr>
            <w:tcW w:type="dxa" w:w="2016"/>
          </w:tcPr>
          <w:p>
            <w:r/>
            <w:r>
              <w:rPr>
                <w:sz w:val="19"/>
              </w:rPr>
              <w:t>$52,604</w:t>
            </w:r>
          </w:p>
        </w:tc>
        <w:tc>
          <w:tcPr>
            <w:tcW w:type="dxa" w:w="2016"/>
          </w:tcPr>
          <w:p>
            <w:r/>
            <w:r>
              <w:rPr>
                <w:sz w:val="19"/>
              </w:rPr>
              <w:t>$48,754</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$205,473</w:t>
            </w:r>
          </w:p>
        </w:tc>
        <w:tc>
          <w:tcPr>
            <w:tcW w:type="dxa" w:w="2016"/>
          </w:tcPr>
          <w:p>
            <w:r/>
            <w:r>
              <w:rPr>
                <w:sz w:val="19"/>
              </w:rPr>
              <w:t>$581,088</w:t>
            </w:r>
          </w:p>
        </w:tc>
        <w:tc>
          <w:tcPr>
            <w:tcW w:type="dxa" w:w="2016"/>
          </w:tcPr>
          <w:p>
            <w:r/>
            <w:r>
              <w:rPr>
                <w:sz w:val="19"/>
              </w:rPr>
              <w:t>$909,160</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($7,029.77/month) - there is no seller note. Month 1 is the transition month (partial census at 12 ADC) and is absorbed by the $372K opening cash reserve; coverage clears the 1.25x floor with wide margin as census stabilizes around the validated ~22 ADC. On an annual basis Year 1 covers at 3.59x.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$84,357</w:t>
            </w:r>
          </w:p>
        </w:tc>
        <w:tc>
          <w:tcPr>
            <w:tcW w:type="dxa" w:w="2016"/>
          </w:tcPr>
          <w:p>
            <w:r/>
            <w:r>
              <w:rPr>
                <w:sz w:val="19"/>
              </w:rPr>
              <w:t>$84,357</w:t>
            </w:r>
          </w:p>
        </w:tc>
        <w:tc>
          <w:tcPr>
            <w:tcW w:type="dxa" w:w="2016"/>
          </w:tcPr>
          <w:p>
            <w:r/>
            <w:r>
              <w:rPr>
                <w:sz w:val="19"/>
              </w:rPr>
              <w:t>$84,357</w:t>
            </w:r>
          </w:p>
        </w:tc>
      </w:tr>
      <w:tr>
        <w:tc>
          <w:tcPr>
            <w:tcW w:type="dxa" w:w="3744"/>
          </w:tcPr>
          <w:p>
            <w:r/>
            <w:r>
              <w:rPr>
                <w:sz w:val="19"/>
              </w:rPr>
              <w:t>DSCR (SBA-only)</w:t>
            </w:r>
          </w:p>
        </w:tc>
        <w:tc>
          <w:tcPr>
            <w:tcW w:type="dxa" w:w="2016"/>
          </w:tcPr>
          <w:p>
            <w:r/>
            <w:r>
              <w:rPr>
                <w:sz w:val="19"/>
              </w:rPr>
              <w:t>3.59x</w:t>
            </w:r>
          </w:p>
        </w:tc>
        <w:tc>
          <w:tcPr>
            <w:tcW w:type="dxa" w:w="2016"/>
          </w:tcPr>
          <w:p>
            <w:r/>
            <w:r>
              <w:rPr>
                <w:sz w:val="19"/>
              </w:rPr>
              <w:t>8.06x</w:t>
            </w:r>
          </w:p>
        </w:tc>
        <w:tc>
          <w:tcPr>
            <w:tcW w:type="dxa" w:w="2016"/>
          </w:tcPr>
          <w:p>
            <w:r/>
            <w:r>
              <w:rPr>
                <w:sz w:val="19"/>
              </w:rPr>
              <w:t>11.94x</w:t>
            </w:r>
          </w:p>
        </w:tc>
      </w:tr>
      <w:tr>
        <w:tc>
          <w:tcPr>
            <w:tcW w:type="dxa" w:w="3744"/>
          </w:tcPr>
          <w:p>
            <w:r/>
            <w:r>
              <w:rPr>
                <w:sz w:val="19"/>
              </w:rPr>
              <w:t>Net income</w:t>
            </w:r>
          </w:p>
        </w:tc>
        <w:tc>
          <w:tcPr>
            <w:tcW w:type="dxa" w:w="2016"/>
          </w:tcPr>
          <w:p>
            <w:r/>
            <w:r>
              <w:rPr>
                <w:sz w:val="19"/>
              </w:rPr>
              <w:t>$205,473</w:t>
            </w:r>
          </w:p>
        </w:tc>
        <w:tc>
          <w:tcPr>
            <w:tcW w:type="dxa" w:w="2016"/>
          </w:tcPr>
          <w:p>
            <w:r/>
            <w:r>
              <w:rPr>
                <w:sz w:val="19"/>
              </w:rPr>
              <w:t>$581,088</w:t>
            </w:r>
          </w:p>
        </w:tc>
        <w:tc>
          <w:tcPr>
            <w:tcW w:type="dxa" w:w="2016"/>
          </w:tcPr>
          <w:p>
            <w:r/>
            <w:r>
              <w:rPr>
                <w:sz w:val="19"/>
              </w:rPr>
              <w:t>$909,160</w:t>
            </w:r>
          </w:p>
        </w:tc>
      </w:tr>
    </w:tbl>
    <w:p>
      <w:r>
        <w:rPr>
          <w:b w:val="0"/>
          <w:i w:val="0"/>
          <w:sz w:val="21"/>
        </w:rPr>
        <w:t>Global 3-year DSCR: 7.86x (vs. 1.25x floor). Because the seller is paid in full at close, the SBA loan ($7,029.77/mo, $84,357/yr)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8.06x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$2,182,914</w:t>
            </w:r>
          </w:p>
        </w:tc>
        <w:tc>
          <w:tcPr>
            <w:tcW w:type="dxa" w:w="1872"/>
          </w:tcPr>
          <w:p>
            <w:r/>
            <w:r>
              <w:rPr>
                <w:sz w:val="19"/>
              </w:rPr>
              <w:t>~$196,600</w:t>
            </w:r>
          </w:p>
        </w:tc>
        <w:tc>
          <w:tcPr>
            <w:tcW w:type="dxa" w:w="1296"/>
          </w:tcPr>
          <w:p>
            <w:r/>
            <w:r>
              <w:rPr>
                <w:sz w:val="19"/>
              </w:rPr>
              <w:t>~2.33x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~($165,700)</w:t>
            </w:r>
          </w:p>
        </w:tc>
        <w:tc>
          <w:tcPr>
            <w:tcW w:type="dxa" w:w="1296"/>
          </w:tcPr>
          <w:p>
            <w:r/>
            <w:r>
              <w:rPr>
                <w:sz w:val="19"/>
              </w:rPr>
              <w:t>&lt;0</w:t>
            </w:r>
          </w:p>
        </w:tc>
        <w:tc>
          <w:tcPr>
            <w:tcW w:type="dxa" w:w="1296"/>
          </w:tcPr>
          <w:p>
            <w:r/>
            <w:r>
              <w:rPr>
                <w:sz w:val="19"/>
              </w:rPr>
              <w:t>No</w:t>
            </w:r>
          </w:p>
        </w:tc>
      </w:tr>
      <w:tr>
        <w:tc>
          <w:tcPr>
            <w:tcW w:type="dxa" w:w="3456"/>
          </w:tcPr>
          <w:p>
            <w:r/>
            <w:r>
              <w:rPr>
                <w:sz w:val="19"/>
              </w:rPr>
              <w:t>Wage +10%</w:t>
            </w:r>
          </w:p>
        </w:tc>
        <w:tc>
          <w:tcPr>
            <w:tcW w:type="dxa" w:w="2016"/>
          </w:tcPr>
          <w:p>
            <w:r/>
            <w:r>
              <w:rPr>
                <w:sz w:val="19"/>
              </w:rPr>
              <w:t>$2,728,642</w:t>
            </w:r>
          </w:p>
        </w:tc>
        <w:tc>
          <w:tcPr>
            <w:tcW w:type="dxa" w:w="1872"/>
          </w:tcPr>
          <w:p>
            <w:r/>
            <w:r>
              <w:rPr>
                <w:sz w:val="19"/>
              </w:rPr>
              <w:t>~$510,800</w:t>
            </w:r>
          </w:p>
        </w:tc>
        <w:tc>
          <w:tcPr>
            <w:tcW w:type="dxa" w:w="1296"/>
          </w:tcPr>
          <w:p>
            <w:r/>
            <w:r>
              <w:rPr>
                <w:sz w:val="19"/>
              </w:rPr>
              <w:t>6.06x</w:t>
            </w:r>
          </w:p>
        </w:tc>
        <w:tc>
          <w:tcPr>
            <w:tcW w:type="dxa" w:w="1296"/>
          </w:tcPr>
          <w:p>
            <w:r/>
            <w:r>
              <w:rPr>
                <w:sz w:val="19"/>
              </w:rPr>
              <w:t>Yes</w:t>
            </w:r>
          </w:p>
        </w:tc>
      </w:tr>
      <w:tr>
        <w:tc>
          <w:tcPr>
            <w:tcW w:type="dxa" w:w="3456"/>
          </w:tcPr>
          <w:p>
            <w:r/>
            <w:r>
              <w:rPr>
                <w:sz w:val="19"/>
              </w:rPr>
              <w:t>Combined (-20% census / +10% wage)</w:t>
            </w:r>
          </w:p>
        </w:tc>
        <w:tc>
          <w:tcPr>
            <w:tcW w:type="dxa" w:w="2016"/>
          </w:tcPr>
          <w:p>
            <w:r/>
            <w:r>
              <w:rPr>
                <w:sz w:val="19"/>
              </w:rPr>
              <w:t>$2,182,914</w:t>
            </w:r>
          </w:p>
        </w:tc>
        <w:tc>
          <w:tcPr>
            <w:tcW w:type="dxa" w:w="1872"/>
          </w:tcPr>
          <w:p>
            <w:r/>
            <w:r>
              <w:rPr>
                <w:sz w:val="19"/>
              </w:rPr>
              <w:t>~$27,900</w:t>
            </w:r>
          </w:p>
        </w:tc>
        <w:tc>
          <w:tcPr>
            <w:tcW w:type="dxa" w:w="1296"/>
          </w:tcPr>
          <w:p>
            <w:r/>
            <w:r>
              <w:rPr>
                <w:sz w:val="19"/>
              </w:rPr>
              <w:t>~0.33x</w:t>
            </w:r>
          </w:p>
        </w:tc>
        <w:tc>
          <w:tcPr>
            <w:tcW w:type="dxa" w:w="1296"/>
          </w:tcPr>
          <w:p>
            <w:r/>
            <w:r>
              <w:rPr>
                <w:sz w:val="19"/>
              </w:rPr>
              <w:t>No</w:t>
            </w:r>
          </w:p>
        </w:tc>
      </w:tr>
    </w:tbl>
    <w:p>
      <w:r>
        <w:rPr>
          <w:b w:val="0"/>
          <w:i w:val="0"/>
          <w:sz w:val="21"/>
        </w:rPr>
        <w:t>Reading the stress tests. Because the seller is paid at close, debt service is the SBA loan alone ($84,357), and Year-2 coverage absorbs a great deal: the base case covers at 8.06x, a sustained 20% census drop still clears at ~2.33x, and a 10% wage spike clears at 6.06x. Only the extreme cases fail - a 35% census collapse turns EBITDA negative, and a severe combined shock (-20% census AND +10% wages, full roster held constant) does not cover.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3.59x -&gt; 11.94x (global 7.86x)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wage shock holds at 6.06x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33%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$250K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(3.59x -&gt; 8.06x -&gt; 11.94x; global 7.86x), because the seller is paid at close and the SBA loan is the only debt; and (3) a well-capitalized structure - $250K cash equity (33%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