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DSCR Sensitivity / Stress-Test Analysis</w:t>
      </w:r>
    </w:p>
    <w:p>
      <w:r>
        <w:rPr>
          <w:b w:val="0"/>
          <w:i w:val="0"/>
          <w:color w:val="606060"/>
          <w:sz w:val="18"/>
        </w:rPr>
        <w:t>SBA 7(a) Application - Tyler Hospice Hold LLC. Illustrative scenarios; underlying model in folder 09.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The base case clears the 1.25x SBA DSCR floor in every year by a wide margin. Because the seller is paid in full at close (no retained note), debt service is the SBA loan alone (~$84,357/yr), so coverage is strong from Year 1. This memo stress-tests the Year-1 result against the risks a lender will probe: a slower census ramp, a softer reimbursement rate, payroll inflation, and a combined downside.</w:t>
      </w:r>
    </w:p>
    <w:p>
      <w:r>
        <w:rPr>
          <w:b/>
          <w:color w:val="1F3864"/>
          <w:sz w:val="23"/>
        </w:rPr>
        <w:t>Base case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Net patient revenue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$1,442,930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EBITDA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$302,522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SBA debt service (only debt)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$84,357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sz w:val="19"/>
              </w:rPr>
              <w:t>DSCR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3.59x</w:t>
            </w:r>
          </w:p>
        </w:tc>
      </w:tr>
    </w:tbl>
    <w:p>
      <w:r>
        <w:rPr>
          <w:b/>
          <w:color w:val="1F3864"/>
          <w:sz w:val="23"/>
        </w:rPr>
        <w:t>Single-factor stress (Year 1)</w:t>
      </w:r>
    </w:p>
    <w:p>
      <w:r>
        <w:rPr>
          <w:b w:val="0"/>
          <w:i/>
          <w:sz w:val="19"/>
        </w:rPr>
        <w:t>Each scenario isolates one variable; all others held at base. Variable cost flexes proportionally with revenue at the model's contribution ratio (~88.5% contribution margin per patient-day). Debt service is the SBA loan only ($84,357).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Clears 1.25x?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S1 - Census -10%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19.6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$174,823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2.07x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S2 - Census -20%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ADC 17.4 vs. 21.8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$47,123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0.56x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 - shortfall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S3 - Rate -3%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$264,212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3.13x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S4 - Rate -5%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Net rate -5%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$238,672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2.83x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S5 - Payroll +10%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$955K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$215,705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2.56x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9"/>
              </w:rPr>
              <w:t>S6 - Payroll +5%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Payroll $911K vs. $868K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$259,113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3.07x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Yes</w:t>
            </w:r>
          </w:p>
        </w:tc>
      </w:tr>
    </w:tbl>
    <w:p>
      <w:r>
        <w:rPr>
          <w:b/>
          <w:color w:val="1F3864"/>
          <w:sz w:val="23"/>
        </w:rPr>
        <w:t>Combined downside (Year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3744"/>
          </w:tcPr>
          <w:p>
            <w:r/>
            <w:r>
              <w:rPr>
                <w:b/>
                <w:sz w:val="19"/>
              </w:rPr>
              <w:t>Assumption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EBITDA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DSCR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C1 - Mild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-5%, Rate -2%, Payroll +3%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$187,087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2.22x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C2 - Moderate downside</w:t>
            </w:r>
          </w:p>
        </w:tc>
        <w:tc>
          <w:tcPr>
            <w:tcW w:type="dxa" w:w="3744"/>
          </w:tcPr>
          <w:p>
            <w:r/>
            <w:r>
              <w:rPr>
                <w:sz w:val="19"/>
              </w:rPr>
              <w:t>Census -10%, Rate -3%, Payroll +5%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$93,104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1.10x</w:t>
            </w:r>
          </w:p>
        </w:tc>
      </w:tr>
    </w:tbl>
    <w:p>
      <w:r>
        <w:rPr>
          <w:b/>
          <w:color w:val="1F3864"/>
          <w:sz w:val="23"/>
        </w:rPr>
        <w:t>What the stress tells us</w:t>
      </w:r>
    </w:p>
    <w:p>
      <w:r>
        <w:rPr>
          <w:b w:val="0"/>
          <w:i w:val="0"/>
          <w:sz w:val="21"/>
        </w:rPr>
        <w:t>With the seller paid at close, Year-1 coverage is strong (3.59x) and absorbs realistic shocks: a 10% census miss, a 5% rate cut, and a 10% wage spike each still clear comfortably (2.07x / 2.83x / 2.56x), and a mild combined downside clears at 2.22x. The only single-factor break is a hard, sustained 20% census shortfall (0.56x); a moderate combined downside is right at the floor (1.10x). Even then, the buffers below are not credited in the static flex:</w:t>
      </w:r>
    </w:p>
    <w:p>
      <w:r>
        <w:rPr>
          <w:b w:val="0"/>
          <w:i w:val="0"/>
          <w:sz w:val="21"/>
        </w:rPr>
        <w:t xml:space="preserve">  - Break-even is ~16 ADC; even the -20% case (ADC ~17.4) is still above operating break-even - the strain is coverage timing, not viability.</w:t>
      </w:r>
    </w:p>
    <w:p>
      <w:r>
        <w:rPr>
          <w:b w:val="0"/>
          <w:i w:val="0"/>
          <w:sz w:val="21"/>
        </w:rPr>
        <w:t xml:space="preserve">  - The Year-1 roster is partly census-driven: PRN, intake, and capacity RN/CNA headcount flex back if census softens, which the static stress holds flat against revenue.</w:t>
      </w:r>
    </w:p>
    <w:p>
      <w:r>
        <w:rPr>
          <w:b w:val="0"/>
          <w:i w:val="0"/>
          <w:sz w:val="21"/>
        </w:rPr>
        <w:t xml:space="preserve">  - The $372K opening working-capital reserve bridges any timing shortfall; with only SBA debt service (~$7,030/mo), monthly obligations are far lighter than a dual-debt structure.</w:t>
      </w:r>
    </w:p>
    <w:p>
      <w:r>
        <w:rPr>
          <w:b w:val="0"/>
          <w:i w:val="0"/>
          <w:sz w:val="21"/>
        </w:rPr>
        <w:t xml:space="preserve">  - A working-capital line, if the lender bundles one, adds further headroom not reflected in EBITDA.</w:t>
      </w:r>
    </w:p>
    <w:p>
      <w:r>
        <w:rPr>
          <w:b/>
          <w:color w:val="1F3864"/>
          <w:sz w:val="23"/>
        </w:rPr>
        <w:t>Recommendation to the underwriter</w:t>
      </w:r>
    </w:p>
    <w:p>
      <w:r>
        <w:rPr>
          <w:b w:val="0"/>
          <w:i w:val="0"/>
          <w:sz w:val="21"/>
        </w:rPr>
        <w:t>Approve with standard covenants. The deal covers SBA debt service at 3.59x in Year 1 and far higher thereafter; the only meaningful stress is a hard census shortfall, mitigated by (a) experienced BD leadership with a validated 40+ ADC referral book, (b) opening census ~38% above break-even, (c) the $372K reserve, and (d) the seller-paid-at-close structure that leaves the SBA loan as the only debt. A monthly census-and-cash covenant during Y1 would let the lender monitor the binding variable.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