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Use of Proceeds</w:t>
      </w:r>
    </w:p>
    <w:p>
      <w:r>
        <w:rPr>
          <w:b w:val="0"/>
          <w:i w:val="0"/>
          <w:color w:val="606060"/>
          <w:sz w:val="18"/>
        </w:rPr>
        <w:t>SBA 7(a) Application - Tyler Hospice Hold LLC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Total Project Sources and Uses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</w:tcPr>
          <w:p>
            <w:r/>
            <w:r>
              <w:rPr>
                <w:b/>
                <w:sz w:val="19"/>
              </w:rPr>
              <w:t>Use of funds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Amount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Funding source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Purchase of existing business - Hickory Medicare license (CHOW)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$300,000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Seller note (36 mo, 6%)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Startup one-time costs (855A filing, TX licensure, EMR, supply stock, legal, contingency)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$63,000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SBA + equity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Equipment purchase (computers, office furniture)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$15,000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SBA + equity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Working-capital reserve (opening cash; funds ramp payroll and dual debt service)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$672,000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SBA + equity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9"/>
              </w:rPr>
              <w:t>Total funds required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$1,050,000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Loan Request Reconciliation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r/>
            <w:r>
              <w:rPr>
                <w:b/>
                <w:sz w:val="19"/>
              </w:rPr>
              <w:t>Line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Total funds required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$1,050,000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Less: borrower equity injection (cash capital contribution)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($250,000)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Less: seller financing (Hickory license note, non-SBA)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($300,000)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Total SBA 7(a) loan request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$500,000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Details on the transaction and use of working capital</w:t>
      </w:r>
    </w:p>
    <w:p>
      <w:r>
        <w:rPr>
          <w:b w:val="0"/>
          <w:i w:val="0"/>
          <w:sz w:val="21"/>
        </w:rPr>
        <w:t>This is a change-of-ownership (CHOW) acquisition of Hickory Hospice LLC, an established, Medicare-certified hospice, structured as a purchase of 100% of its membership interests. The $300,000 purchase price for the existing Medicare provider number is fully seller-financed, so no cash leaves at close for the acquisition and the working-capital reserve is preserved. The acquired provider number, state license, and CHAP/ACHC accreditation transfer in the CHOW, so the agency is billing-ready from day one.</w:t>
      </w:r>
    </w:p>
    <w:p>
      <w:r>
        <w:rPr>
          <w:b w:val="0"/>
          <w:i w:val="0"/>
          <w:sz w:val="21"/>
        </w:rPr>
        <w:t>The SBA loan proceeds and the equity injection fund the $672,000 working-capital reserve plus $78,000 of startup costs and equipment. The reserve carries ramp-period payroll and combined debt service (SBA loan plus seller note) while accounts receivable normalize to the ~45-day Medicare cycle, and holds a $25,000 minimum cash floor with the $100,000 working-capital line undrawn in the base case.</w:t>
      </w:r>
    </w:p>
    <w:p>
      <w:r>
        <w:rPr>
          <w:b w:val="0"/>
          <w:i/>
          <w:sz w:val="19"/>
        </w:rPr>
        <w:t>Source of the borrower's equity injection: $250,000 in cash, provided as a capital contribution by minority member James Bullard (19.9% non-controlling interest) in exchange for his equity interest. This is a bona fide, non-borrowed equity injection equal to approximately 23.8% of total project cost - well above the 10% minimum required for a complete change of ownership under SOP 50 10 8. The injection is verified by Mr. Bullard's bank / brokerage statements and the capital-contribution wire into the company's account. Because Mr. Bullard is a passive investor holding less than 20% with no management or control rights and no side agreement, his contribution counts as qualifying equity without triggering a personal guaranty (consistent with SOP 50 10 8 and 13 CFR 120.160). The $300,000 Hickory seller note is not on standby and is therefore treated as acquisition debt within combined debt service, not as part of the equity injection.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How will this loan benefit the company?</w:t>
      </w:r>
    </w:p>
    <w:p>
      <w:r>
        <w:rPr>
          <w:b w:val="0"/>
          <w:i w:val="0"/>
          <w:sz w:val="21"/>
        </w:rPr>
        <w:t>The loan capitalizes the acquisition and relaunch of an established, billing-ready hospice on validated local economics, led by an experienced East-Texas clinical and business-development team with established referral relationships. It funds the working capital required to operate from day one through the receivables-normalization period and to grow census with the team's referral pipeline, producing combined debt-service coverage that clears the 1.25x floor in every year and strengthens as census builds.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