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How to Complete the Personal SBA Forms</w:t>
      </w:r>
    </w:p>
    <w:p>
      <w:r>
        <w:rPr>
          <w:b w:val="0"/>
          <w:i w:val="0"/>
          <w:color w:val="606060"/>
          <w:sz w:val="18"/>
        </w:rPr>
        <w:t>These three forms require personal financial and background information and cannot be drafted from the business records. Guidance below; the blank forms are in 00_source_forms.</w:t>
      </w:r>
    </w:p>
    <w:p>
      <w:r>
        <w:rPr>
          <w:b/>
          <w:color w:val="1F3864"/>
          <w:sz w:val="23"/>
        </w:rPr>
        <w:t>SBA Form 413 - Personal Financial Statement (folder 05)</w:t>
      </w:r>
    </w:p>
    <w:p>
      <w:r>
        <w:rPr>
          <w:b w:val="0"/>
          <w:i w:val="0"/>
          <w:sz w:val="21"/>
        </w:rPr>
        <w:t>Required from each owner of 20% or more (and spouse if jointly filing). Lists personal assets (cash, savings, retirement, real estate, autos, other) and liabilities (mortgages, loans, credit cards), plus a personal income/expense section. Attach supporting bank statements and a recent pay stub. The lender uses this to assess the personal guaranty and the equity-injection source.</w:t>
      </w:r>
    </w:p>
    <w:p>
      <w:r>
        <w:rPr>
          <w:b/>
          <w:color w:val="1F3864"/>
          <w:sz w:val="23"/>
        </w:rPr>
        <w:t>Personal Cash Flow (template 7a, folder 07)</w:t>
      </w:r>
    </w:p>
    <w:p>
      <w:r>
        <w:rPr>
          <w:b w:val="0"/>
          <w:i w:val="0"/>
          <w:sz w:val="21"/>
        </w:rPr>
        <w:t>Monthly personal income vs. personal expenses for each 20%+ owner. Demonstrates the owner can meet personal obligations independent of the business during ramp.</w:t>
      </w:r>
    </w:p>
    <w:p>
      <w:r>
        <w:rPr>
          <w:b/>
          <w:color w:val="1F3864"/>
          <w:sz w:val="23"/>
        </w:rPr>
        <w:t>SBA Form 912 - Personal History Statement / Personal History Form (folder 06)</w:t>
      </w:r>
    </w:p>
    <w:p>
      <w:r>
        <w:rPr>
          <w:b w:val="0"/>
          <w:i w:val="0"/>
          <w:sz w:val="21"/>
        </w:rPr>
        <w:t>Background questionnaire for each 20%+ owner: citizenship, residency, and the character questions (arrests, charges, convictions). Answer exactly and truthfully; any 'yes' requires a written explanation and may require additional clearance. This drives the CAIVRS/SAM screening on the checklist.</w:t>
      </w:r>
    </w:p>
    <w:p>
      <w:r>
        <w:rPr>
          <w:b/>
          <w:color w:val="1F3864"/>
          <w:sz w:val="23"/>
        </w:rPr>
        <w:t>Tip</w:t>
      </w:r>
    </w:p>
    <w:p>
      <w:r>
        <w:rPr>
          <w:b w:val="0"/>
          <w:i w:val="0"/>
          <w:sz w:val="21"/>
        </w:rPr>
        <w:t>Complete the Management Resume drafts first (folder 06) - they capture the work-history and education content; you only add personal identifiers. Then Form 912 and Form 413 reuse much of the same identity data.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