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Management Resume</w:t>
      </w:r>
    </w:p>
    <w:p>
      <w:r>
        <w:rPr>
          <w:b w:val="0"/>
          <w:i w:val="0"/>
          <w:color w:val="606060"/>
          <w:sz w:val="18"/>
        </w:rPr>
        <w:t>SBA 7(a) Application - Tyler Hospice Hold LLC (dba Azalea Hospice &amp; Palliative Care)</w:t>
      </w:r>
    </w:p>
    <w:p>
      <w:r>
        <w:rPr>
          <w:b w:val="0"/>
          <w:i/>
          <w:sz w:val="18"/>
        </w:rPr>
        <w:t>Complete one form per owner. Personal-identifier fields are left blank for the individual to complete.</w:t>
      </w:r>
    </w:p>
    <w:p>
      <w:r>
        <w:rPr>
          <w:b w:val="0"/>
          <w:i w:val="0"/>
          <w:sz w:val="21"/>
        </w:rPr>
      </w:r>
    </w:p>
    <w:p>
      <w:r>
        <w:rPr>
          <w:b/>
        </w:rPr>
        <w:t xml:space="preserve">Name (First, Middle, Last):  </w:t>
      </w:r>
      <w:r>
        <w:t>Geoff Schackmann</w:t>
      </w:r>
    </w:p>
    <w:p>
      <w:r>
        <w:rPr>
          <w:b/>
        </w:rPr>
        <w:t xml:space="preserve">Company Title:  </w:t>
      </w:r>
      <w:r>
        <w:t>Managing Member (39.9% via Adeline &amp; Lilah, LLC)</w:t>
      </w:r>
    </w:p>
    <w:p>
      <w:r>
        <w:rPr>
          <w:b/>
        </w:rPr>
        <w:t xml:space="preserve">Social Security Number:  </w:t>
      </w:r>
      <w:r>
        <w:t>__________ (to provide)</w:t>
      </w:r>
    </w:p>
    <w:p>
      <w:r>
        <w:rPr>
          <w:b/>
        </w:rPr>
        <w:t xml:space="preserve">Date of Birth / Place of Birth:  </w:t>
      </w:r>
      <w:r>
        <w:t>__________ (to provide)</w:t>
      </w:r>
    </w:p>
    <w:p>
      <w:r>
        <w:rPr>
          <w:b/>
        </w:rPr>
        <w:t xml:space="preserve">Residence Telephone / Business Phone:  </w:t>
      </w:r>
      <w:r>
        <w:t>__________ (to provide)</w:t>
      </w:r>
    </w:p>
    <w:p>
      <w:r>
        <w:rPr>
          <w:b/>
        </w:rPr>
        <w:t xml:space="preserve">Residence Address:  </w:t>
      </w:r>
      <w:r>
        <w:t>__________ (to provide)</w:t>
      </w:r>
    </w:p>
    <w:p>
      <w:r>
        <w:rPr>
          <w:b/>
        </w:rPr>
        <w:t xml:space="preserve">Previous Address (and dates):  </w:t>
      </w:r>
      <w:r>
        <w:t>__________ (to provide)</w:t>
      </w:r>
    </w:p>
    <w:p>
      <w:r>
        <w:rPr>
          <w:b/>
        </w:rPr>
        <w:t xml:space="preserve">Spouse Name / SSN / DOB:  </w:t>
      </w:r>
      <w:r>
        <w:t>__________ (to provide)</w:t>
      </w:r>
    </w:p>
    <w:p>
      <w:r>
        <w:rPr>
          <w:b/>
        </w:rPr>
        <w:t xml:space="preserve">Military Service (branch / dates / rank):  </w:t>
      </w:r>
      <w:r>
        <w:t>__________ (to provide)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Professional Summary</w:t>
      </w:r>
    </w:p>
    <w:p>
      <w:r>
        <w:rPr>
          <w:b w:val="0"/>
          <w:i w:val="0"/>
          <w:sz w:val="21"/>
        </w:rPr>
        <w:t>Multi-hospice operator and transaction-led growth leader with operational responsibility for Medicare-certified hospice and palliative-care agencies across multiple states. Sole member of Adeline &amp; Lilah, LLC (AZ), the holding entity through which equity in Tyler Hospice Hold LLC is held. Leads transaction structuring, financing, capital allocation, and post-close integration.</w:t>
      </w:r>
    </w:p>
    <w:p>
      <w:r>
        <w:rPr>
          <w:b/>
          <w:color w:val="1F3864"/>
          <w:sz w:val="23"/>
        </w:rPr>
        <w:t>Work Experience (most recent first)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Company / Location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From - To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Duties / accomplishments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Multi-state hospice operations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Present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Owner / Operator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Operational responsibility for Medicare-certified hospice and palliative-care agencies across multiple states; change-of-ownership (CHOW) transactions and post-CHOW enrollment oversight; census growth from sub-30 to 100+ ADC under existing Medicare provider numbers; multi-site clinical operations under Texas HCSSA and Oregon hospice licensure; CHAP and Joint Commission accreditation; acquisition due diligence (clinical, financial, regulatory); lender and investor relationships across SBA 7(a), conventional, mezzanine, and convertible-note structures.</w:t>
            </w:r>
          </w:p>
        </w:tc>
      </w:tr>
    </w:tbl>
    <w:p>
      <w:r>
        <w:rPr>
          <w:b/>
          <w:color w:val="1F3864"/>
          <w:sz w:val="23"/>
        </w:rPr>
        <w:t>Education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Institution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Dates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Major / Credential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Degree / Certificate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