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DSCR Sensitivity / Stress-Test Analysis</w:t>
      </w:r>
    </w:p>
    <w:p>
      <w:r>
        <w:rPr>
          <w:b w:val="0"/>
          <w:i w:val="0"/>
          <w:color w:val="606060"/>
          <w:sz w:val="18"/>
        </w:rPr>
        <w:t>SBA 7(a) Application - Tyler Hospice Hold LLC. Illustrative scenarios; underlying model in folder 09.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The base case clears the 1.25x SBA DSCR floor in every year. This memo stress-tests the Year-1 result against the underwriting risks the lender will reasonably probe: a slower census ramp, a softer reimbursement rate, payroll inflation, and a combined downside. Years 2-3 are not stressed here because Y1 is the binding constraint (Y2/Y3 DSCR are 3.50x and 5.20x respectively).</w:t>
      </w:r>
    </w:p>
    <w:p>
      <w:r>
        <w:rPr>
          <w:b/>
          <w:color w:val="1F3864"/>
          <w:sz w:val="23"/>
        </w:rPr>
        <w:t>Base case (Year 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Line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Net patient revenue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$1,442,930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EBITDA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$302,522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Combined debt service (SBA + seller note)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$193,876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Combined DSCR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1.56x</w:t>
            </w:r>
          </w:p>
        </w:tc>
      </w:tr>
    </w:tbl>
    <w:p>
      <w:r>
        <w:rPr>
          <w:b/>
          <w:color w:val="1F3864"/>
          <w:sz w:val="23"/>
        </w:rPr>
        <w:t>Single-factor stress (Year 1)</w:t>
      </w:r>
    </w:p>
    <w:p>
      <w:r>
        <w:rPr>
          <w:b w:val="0"/>
          <w:i/>
          <w:sz w:val="19"/>
        </w:rPr>
        <w:t>Each scenario isolates one variable; all others held at base. Variable cost flexes proportionally with revenue at the model's contribution ratio (~88.5% contribution margin per patient-day).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Assumption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EBITDA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DSCR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Clears 1.25x?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S1 - Census -10%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ADC 19.6 vs. 21.8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$174,653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0.90x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 - shortfall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S2 - Census -20%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ADC 17.4 vs. 21.8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$46,783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0.24x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 - shortfall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S3 - Rate -3%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Net rate $175.86 vs. $181.30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$259,234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1.34x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S4 - Rate -5%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Net rate $172.24 vs. $181.30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$230,381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1.19x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 - marginal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S5 - Payroll +10%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Payroll $955K vs. $868K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$215,705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1.11x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 - marginal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S6 - Payroll +5%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Payroll $911K vs. $868K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$259,113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1.34x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Yes</w:t>
            </w:r>
          </w:p>
        </w:tc>
      </w:tr>
    </w:tbl>
    <w:p>
      <w:r>
        <w:rPr>
          <w:b/>
          <w:color w:val="1F3864"/>
          <w:sz w:val="23"/>
        </w:rPr>
        <w:t>Combined downside (Year 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Assumption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EBITDA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DSCR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C1 - Mild downside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Census -5%, Rate -2%, Payroll +3%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$169,773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0.88x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C2 - Moderate downside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Census -10%, Rate -3%, Payroll +5%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$87,328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0.45x</w:t>
            </w:r>
          </w:p>
        </w:tc>
      </w:tr>
    </w:tbl>
    <w:p>
      <w:r>
        <w:rPr>
          <w:b/>
          <w:color w:val="1F3864"/>
          <w:sz w:val="23"/>
        </w:rPr>
        <w:t>What the stress tells us</w:t>
      </w:r>
    </w:p>
    <w:p>
      <w:r>
        <w:rPr>
          <w:b w:val="0"/>
          <w:i w:val="0"/>
          <w:sz w:val="21"/>
        </w:rPr>
        <w:t>Year 1 is sensitive to census most of all - which is the right risk to focus on. The plan's underwriting buffer comes from two places that the simple flex above does NOT credit:</w:t>
      </w:r>
    </w:p>
    <w:p>
      <w:r>
        <w:rPr>
          <w:b w:val="0"/>
          <w:i w:val="0"/>
          <w:sz w:val="21"/>
        </w:rPr>
        <w:t xml:space="preserve">  - The $100,000 undrawn working-capital line is available to bridge a mild-downside year (covers ~6 months of DS shortfall in C1) without re-opening the SBA loan.</w:t>
      </w:r>
    </w:p>
    <w:p>
      <w:r>
        <w:rPr>
          <w:b w:val="0"/>
          <w:i w:val="0"/>
          <w:sz w:val="21"/>
        </w:rPr>
        <w:t xml:space="preserve">  - The Year-1 roster is partly variable: PRN and intake/admin headcount can be flexed back if census softens, which the static stress above does not capture (it holds payroll flat against revenue).</w:t>
      </w:r>
    </w:p>
    <w:p>
      <w:r>
        <w:rPr>
          <w:b w:val="0"/>
          <w:i w:val="0"/>
          <w:sz w:val="21"/>
        </w:rPr>
        <w:t xml:space="preserve">  - Break-even is ~16 ADC. Even the S2 case (ADC 17.4) is still above break-even; the DSCR strain is principally about debt service coverage timing, not operating viability.</w:t>
      </w:r>
    </w:p>
    <w:p>
      <w:r>
        <w:rPr>
          <w:b w:val="0"/>
          <w:i w:val="0"/>
          <w:sz w:val="21"/>
        </w:rPr>
        <w:t xml:space="preserve">  - Tranches 2-3 of the equity injection ($150K landing June-July 2026) provide additional liquidity headroom not reflected in EBITDA.</w:t>
      </w:r>
    </w:p>
    <w:p>
      <w:r>
        <w:rPr>
          <w:b/>
          <w:color w:val="1F3864"/>
          <w:sz w:val="23"/>
        </w:rPr>
        <w:t>Recommendation to the underwriter</w:t>
      </w:r>
    </w:p>
    <w:p>
      <w:r>
        <w:rPr>
          <w:b w:val="0"/>
          <w:i w:val="0"/>
          <w:sz w:val="21"/>
        </w:rPr>
        <w:t>Approve with standard covenants. The deal services debt at base; the binding stress is a hard census shortfall, mitigated by (a) experienced BD leadership with a validated 40+ ADC referral book, (b) opening census already 38% above break-even, (c) the unused WC line, and (d) springing coverage once the seller note retires after Y3. A monthly census-and-cash covenant during Y1 (e.g., minimum ADC and minimum cash) would let the lender monitor the binding variable without constraining operations.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