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Draft email to Blaise Bender (sellers' counsel)</w:t>
      </w:r>
    </w:p>
    <w:p>
      <w:r>
        <w:rPr>
          <w:b/>
          <w:sz w:val="22"/>
        </w:rPr>
        <w:t>To: Blaise Bender | Cc: Jorge Resendiz, Dennis Hendrix | From: Geoff Schackmann | Re: Refuge Hospice MIPA - Rev 1.01 comments, proposed final version</w:t>
      </w:r>
    </w:p>
    <w:p>
      <w:r>
        <w:rPr>
          <w:b w:val="0"/>
          <w:sz w:val="22"/>
        </w:rPr>
        <w:t>Blaise,</w:t>
      </w:r>
    </w:p>
    <w:p>
      <w:r>
        <w:rPr>
          <w:b w:val="0"/>
          <w:sz w:val="22"/>
        </w:rPr>
        <w:t>Thanks for turning the comments around so quickly. Attached is the updated draft with my responses to each item, organized below so you can see where things stand.</w:t>
      </w:r>
    </w:p>
    <w:p>
      <w:r>
        <w:rPr>
          <w:b/>
          <w:sz w:val="22"/>
        </w:rPr>
        <w:t>Confirmed, no open issue:</w:t>
      </w:r>
    </w:p>
    <w:p>
      <w:pPr>
        <w:pStyle w:val="ListBullet"/>
      </w:pPr>
      <w:r>
        <w:rPr>
          <w:sz w:val="22"/>
        </w:rPr>
        <w:t>Buyer entity name conformed throughout (the Agreement, Exhibits, Disclosure Schedules, and signature blocks).</w:t>
      </w:r>
    </w:p>
    <w:p>
      <w:pPr>
        <w:pStyle w:val="ListBullet"/>
      </w:pPr>
      <w:r>
        <w:rPr>
          <w:sz w:val="22"/>
        </w:rPr>
        <w:t>The free and clear language restated, just cleaned up, no substantive change.</w:t>
      </w:r>
    </w:p>
    <w:p>
      <w:pPr>
        <w:pStyle w:val="ListBullet"/>
      </w:pPr>
      <w:r>
        <w:rPr>
          <w:sz w:val="22"/>
        </w:rPr>
        <w:t>Final payment terms: balloon date conformed to the Recitals, $258,489.46 stated final payment, plus the discharge, W-9, and payoff statement language.</w:t>
      </w:r>
    </w:p>
    <w:p>
      <w:pPr>
        <w:pStyle w:val="ListBullet"/>
      </w:pPr>
      <w:r>
        <w:rPr>
          <w:sz w:val="22"/>
        </w:rPr>
        <w:t>The 5 day cure period on the acceleration provision. Agreed.</w:t>
      </w:r>
    </w:p>
    <w:p>
      <w:pPr>
        <w:pStyle w:val="ListBullet"/>
      </w:pPr>
      <w:r>
        <w:rPr>
          <w:sz w:val="22"/>
        </w:rPr>
        <w:t>Exhibit C, the payment schedule, added.</w:t>
      </w:r>
    </w:p>
    <w:p>
      <w:r>
        <w:rPr>
          <w:b/>
          <w:sz w:val="22"/>
        </w:rPr>
        <w:t>Still need an answer from you:</w:t>
      </w:r>
    </w:p>
    <w:p>
      <w:pPr>
        <w:pStyle w:val="ListNumber"/>
      </w:pPr>
      <w:r>
        <w:rPr>
          <w:sz w:val="22"/>
        </w:rPr>
        <w:t>Closing date. I see the “no earlier than thirty-six (36) months after the Company's CMS Certification” qualifier stays in, which protects the regulatory floor, so we're aligned on the substance. The remaining wrinkle is that “on or about January 15” leaves a window between January 8 and January 15 where the final payment figure of $258,489.46 no longer matches, since that number is computed to January 15 exactly. Simplest fix is “not before January 15, 2027.” If you want the flexibility to close in that one week window instead, the final payment needs to be restated as a formula rather than a fixed number. Either works for me, just pick one.</w:t>
      </w:r>
    </w:p>
    <w:p>
      <w:pPr>
        <w:pStyle w:val="ListNumber"/>
      </w:pPr>
      <w:r>
        <w:rPr>
          <w:sz w:val="22"/>
        </w:rPr>
        <w:t>Default rate. We're aligned on the 5 day cure, but I haven't heard back on bringing the Note's default rate down from 15% to 10%. Can we close that out too?</w:t>
      </w:r>
    </w:p>
    <w:p>
      <w:pPr>
        <w:pStyle w:val="ListNumber"/>
      </w:pPr>
      <w:r>
        <w:rPr>
          <w:sz w:val="22"/>
        </w:rPr>
        <w:t>Interim operating covenants (Section 5.03). Good to know Refuge is member managed, I'll draft consistent with that. I still need to know whether Sellers agree to the covenant in principle, and I still need the current Company Agreement so I can conform the language to it.</w:t>
      </w:r>
    </w:p>
    <w:p>
      <w:pPr>
        <w:pStyle w:val="ListNumber"/>
      </w:pPr>
      <w:r>
        <w:rPr>
          <w:sz w:val="22"/>
        </w:rPr>
        <w:t>Venue. Bexar County works for enforcement and fixes the conflict with the arbitration seat. Just confirming the arbitration seat is also Bexar, not Denton, so both provisions point to the same place.</w:t>
      </w:r>
    </w:p>
    <w:p>
      <w:r>
        <w:rPr>
          <w:b/>
          <w:sz w:val="22"/>
        </w:rPr>
        <w:t>Carried forward as drafted since I haven't heard back, flagging these now rather than at signing:</w:t>
      </w:r>
    </w:p>
    <w:p>
      <w:pPr>
        <w:pStyle w:val="ListBullet"/>
      </w:pPr>
      <w:r>
        <w:rPr>
          <w:sz w:val="22"/>
        </w:rPr>
        <w:t>Section 1.09, Payment Deferral for Regulatory Payment Events. Gives me the ability to defer a payment if Medicare payment is delayed by a provisional period of enhanced oversight, prepayment review, or additional documentation requests. Capped at 12 months total, interest keeps accruing, no default triggered. Given Palmetto's March 2026 reactivation letter, this is a real risk, not a hypothetical one.</w:t>
      </w:r>
    </w:p>
    <w:p>
      <w:pPr>
        <w:pStyle w:val="ListBullet"/>
      </w:pPr>
      <w:r>
        <w:rPr>
          <w:sz w:val="22"/>
        </w:rPr>
        <w:t>Security agreement consolidation (Section 1.07). One joint security agreement with both Sellers, deletion of Section 2.3, and the Section 3.3-3.4 fix so the timing reflects that I don't hold the interest until Closing.</w:t>
      </w:r>
    </w:p>
    <w:p>
      <w:pPr>
        <w:pStyle w:val="ListBullet"/>
      </w:pPr>
      <w:r>
        <w:rPr>
          <w:sz w:val="22"/>
        </w:rPr>
        <w:t>Escrow for the 51% release (Section 2.03). Mirrors the security interest Sellers already hold on my 49%. I'll cover the cost.</w:t>
      </w:r>
    </w:p>
    <w:p>
      <w:r>
        <w:rPr>
          <w:b w:val="0"/>
          <w:sz w:val="22"/>
        </w:rPr>
        <w:t>None of these three drew a comment either way, so I want to make sure they're in front of you now instead of assumed later. If any of them is a problem, better to know now. Otherwise I'll treat them as agreed and move toward a clean version for signature.</w:t>
      </w:r>
    </w:p>
    <w:p>
      <w:r>
        <w:rPr>
          <w:b w:val="0"/>
          <w:sz w:val="22"/>
        </w:rPr>
        <w:t>Let me know where you land on the four items above, and flag anything on the last three.</w:t>
      </w:r>
    </w:p>
    <w:p>
      <w:r>
        <w:rPr>
          <w:b w:val="0"/>
          <w:sz w:val="22"/>
        </w:rPr>
        <w:t>Thanks,</w:t>
      </w:r>
    </w:p>
    <w:p>
      <w:r>
        <w:rPr>
          <w:b/>
          <w:sz w:val="22"/>
        </w:rPr>
        <w:t>Geoff</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Refuge Hospice MIPA - Email to Blaise Bender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