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SBA Form 413 - Personal Financial Statement (pre-fill worksheet)</w:t>
      </w:r>
    </w:p>
    <w:p>
      <w:r>
        <w:rPr>
          <w:b w:val="0"/>
          <w:i w:val="0"/>
          <w:color w:val="606060"/>
          <w:sz w:val="18"/>
        </w:rPr>
        <w:t>PRE-FILL WORKSHEET for Geoff Schackmann, the sole 20%+ owner and guarantor. Transcribe onto the current official SBA Form 413 (OMB 3245-0188). Dollar values must be supplied by Geoff and supported by statements; the two items known from the file are pre-filled below. As of date: __________ (to provide).</w:t>
      </w:r>
    </w:p>
    <w:p>
      <w:r>
        <w:rPr>
          <w:b w:val="0"/>
          <w:i/>
          <w:sz w:val="18"/>
        </w:rPr>
        <w:t>Important: the $195,000 equity injection is James Bullard's cash (a separate 19.5% member), NOT Geoff's - so it does not appear on Geoff's PFS. Geoff's PFS supports the personal guaranty; Bullard's source-of-funds is verified separately from his own statements.</w:t>
      </w:r>
    </w:p>
    <w:p>
      <w:r>
        <w:rPr>
          <w:b/>
        </w:rPr>
        <w:t xml:space="preserve">Name:  </w:t>
      </w:r>
      <w:r>
        <w:t>Geoff Schackmann</w:t>
      </w:r>
    </w:p>
    <w:p>
      <w:r>
        <w:rPr>
          <w:b/>
        </w:rPr>
        <w:t xml:space="preserve">Residential address:  </w:t>
      </w:r>
      <w:r>
        <w:t>__________ (to provide)</w:t>
      </w:r>
    </w:p>
    <w:p>
      <w:r>
        <w:rPr>
          <w:b/>
        </w:rPr>
        <w:t xml:space="preserve">Business name of applicant:  </w:t>
      </w:r>
      <w:r>
        <w:t>Tyler Hospice Hold LLC (dba Azalea Hospice &amp; Palliative Care)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Assets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Asset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Value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Cash on hand and in banks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Attach recent bank statements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Savings accounts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IRA / other retirement accounts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Schedule / statement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Accounts and notes receivable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see Schedule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Includes the VistaRiver seller note (below)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Life insurance - cash surrender value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Name insurer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Stocks and bonds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Schedule B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Real estate (from Schedule C)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Primary residence / other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Automobiles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Year/make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Other personal property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Other assets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TOTAL ASSETS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/>
          <w:color w:val="1F3864"/>
          <w:sz w:val="23"/>
        </w:rPr>
        <w:t>Liabilities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Liability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Value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Accounts payable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Notes payable to banks and others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Schedule 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Installment account (auto)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Monthly payment 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Installment account (other)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Monthly payment 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Loans on life insurance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Mortgages on real estate (from Schedule C)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Unpaid taxes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Other liabilities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TOTAL LIABILITIES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NET WORTH (assets - liabilities)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/>
          <w:color w:val="1F3864"/>
          <w:sz w:val="23"/>
        </w:rPr>
        <w:t>Notes Receivable - pre-filled known item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Payor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Origin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Original amount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Current balance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VistaRiver (sale of Geoff's prior hospice interest)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MIPA dated 08/15/2025 (in PFS support folder)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Provide payment ledger / recent statement showing the note is current</w:t>
            </w:r>
          </w:p>
        </w:tc>
      </w:tr>
    </w:tbl>
    <w:p>
      <w:r>
        <w:rPr>
          <w:b/>
          <w:color w:val="1F3864"/>
          <w:sz w:val="23"/>
        </w:rPr>
        <w:t>Contingent Liabilities - pre-filled known item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Amount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As guarantor: SBA 7(a) loan to Tyler Hospice Hold LLC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$555,000 (proposed)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This transaction - Geoff is the sole personal guarantor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As endorser or co-maker (other)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Legal claims and judgments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Provision for federal income tax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Other special debt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/>
          <w:color w:val="1F3864"/>
          <w:sz w:val="23"/>
        </w:rPr>
        <w:t>Source of Income (annual) and Personal Information</w:t>
      </w:r>
    </w:p>
    <w:p>
      <w:r>
        <w:rPr>
          <w:b w:val="0"/>
          <w:i w:val="0"/>
          <w:sz w:val="19"/>
        </w:rPr>
        <w:t xml:space="preserve">  - Salary / wages; net investment income; real estate income; other income (describe)</w:t>
      </w:r>
    </w:p>
    <w:p>
      <w:r>
        <w:rPr>
          <w:b w:val="0"/>
          <w:i w:val="0"/>
          <w:sz w:val="19"/>
        </w:rPr>
        <w:t xml:space="preserve">  - Schedule A - notes payable to banks and others (to whom, balance, terms, security)</w:t>
      </w:r>
    </w:p>
    <w:p>
      <w:r>
        <w:rPr>
          <w:b w:val="0"/>
          <w:i w:val="0"/>
          <w:sz w:val="19"/>
        </w:rPr>
        <w:t xml:space="preserve">  - Schedule B - stocks and bonds</w:t>
      </w:r>
    </w:p>
    <w:p>
      <w:r>
        <w:rPr>
          <w:b w:val="0"/>
          <w:i w:val="0"/>
          <w:sz w:val="19"/>
        </w:rPr>
        <w:t xml:space="preserve">  - Schedule C - real estate owned (address, cost, market value, mortgage balance, payment)</w:t>
      </w:r>
    </w:p>
    <w:p>
      <w:r>
        <w:rPr>
          <w:b w:val="0"/>
          <w:i w:val="0"/>
          <w:sz w:val="19"/>
        </w:rPr>
        <w:t xml:space="preserve">  - Life insurance held (face amount, cash surrender value, beneficiaries)</w:t>
      </w:r>
    </w:p>
    <w:p>
      <w:r>
        <w:rPr>
          <w:b w:val="0"/>
          <w:i/>
          <w:sz w:val="18"/>
        </w:rPr>
        <w:t>Attach: most recent statements for each asset/liability line, a recent pay stub or income documentation, and the VistaRiver note ledger. The lender uses the PFS to assess the personal guaranty and overall credit strength.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