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HOLDCO L.L.C. -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HoldCo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and (v) coordinate Member governance with the post-closing capital structure.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*Restricted Interests of Silas R. Shelton, Dana L. Davenport, and Bradley Gene Woodard are subject to the Forfeiture Conditions of Article V of the Original OA as modified by Section 4 of this Amendment.</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9.1(d),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Restricted Interest sizing (updates Article V of the Original OA)</w:t>
      </w:r>
    </w:p>
    <w:p>
      <w:r>
        <w:rPr>
          <w:b w:val="0"/>
          <w:i w:val="0"/>
          <w:sz w:val="21"/>
        </w:rPr>
        <w:t>Section 5.1 of the Original OA is amended so that each Restricted Interest is sized at **thirteen and three-tenths percent (13.3%)** (rather than four and nine-tenths percent (4.9%)). The corresponding tranche sizing in Section 5.2 is amended as follows, preserving the original milestone-based forfeiture structure (Breakeven / 3 consecutive Profitable months / 12 consecutive Profitable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Milestone</w:t>
            </w:r>
          </w:p>
        </w:tc>
        <w:tc>
          <w:tcPr>
            <w:tcW w:type="dxa" w:w="2304"/>
          </w:tcPr>
          <w:p>
            <w:r/>
            <w:r>
              <w:rPr>
                <w:b/>
                <w:sz w:val="19"/>
              </w:rPr>
              <w:t>Tranche size (of 13.3% grant)</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grant</w:t>
            </w:r>
          </w:p>
        </w:tc>
        <w:tc>
          <w:tcPr>
            <w:tcW w:type="dxa" w:w="2160"/>
          </w:tcPr>
          <w:p>
            <w:r/>
            <w:r>
              <w:rPr>
                <w:sz w:val="19"/>
              </w:rPr>
              <w:t>3.325%</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grant</w:t>
            </w:r>
          </w:p>
        </w:tc>
        <w:tc>
          <w:tcPr>
            <w:tcW w:type="dxa" w:w="2160"/>
          </w:tcPr>
          <w:p>
            <w:r/>
            <w:r>
              <w:rPr>
                <w:sz w:val="19"/>
              </w:rPr>
              <w:t>6.650%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grant</w:t>
            </w:r>
          </w:p>
        </w:tc>
        <w:tc>
          <w:tcPr>
            <w:tcW w:type="dxa" w:w="2160"/>
          </w:tcPr>
          <w:p>
            <w:r/>
            <w:r>
              <w:rPr>
                <w:sz w:val="19"/>
              </w:rPr>
              <w:t>3.325%</w:t>
            </w:r>
          </w:p>
        </w:tc>
      </w:tr>
      <w:tr>
        <w:tc>
          <w:tcPr>
            <w:tcW w:type="dxa" w:w="1440"/>
          </w:tcPr>
          <w:p>
            <w:r/>
            <w:r>
              <w:rPr>
                <w:sz w:val="19"/>
              </w:rPr>
              <w:t>Total per Equity Grantee</w:t>
            </w:r>
          </w:p>
        </w:tc>
        <w:tc>
          <w:tcPr>
            <w:tcW w:type="dxa" w:w="3600"/>
          </w:tcPr>
          <w:p>
            <w:r/>
            <w:r>
              <w:rPr>
                <w:sz w:val="19"/>
              </w:rPr>
            </w:r>
          </w:p>
        </w:tc>
        <w:tc>
          <w:tcPr>
            <w:tcW w:type="dxa" w:w="2304"/>
          </w:tcPr>
          <w:p>
            <w:r/>
            <w:r>
              <w:rPr>
                <w:sz w:val="19"/>
              </w:rPr>
              <w:t>100%</w:t>
            </w:r>
          </w:p>
        </w:tc>
        <w:tc>
          <w:tcPr>
            <w:tcW w:type="dxa" w:w="2160"/>
          </w:tcPr>
          <w:p>
            <w:r/>
            <w:r>
              <w:rPr>
                <w:sz w:val="19"/>
              </w:rPr>
              <w:t>13.300%</w:t>
            </w:r>
          </w:p>
        </w:tc>
      </w:tr>
    </w:tbl>
    <w:p>
      <w:r>
        <w:rPr>
          <w:b w:val="0"/>
          <w:i/>
          <w:sz w:val="19"/>
        </w:rPr>
        <w:t>All other provisions of Article V (including the §83(b) election requirement at §5.7, the Termination Without Cause pro-rata credit at §5.5, and the Forfeiture on Termination for Cause at §5.4) remain in full force and effect, with percentages scaled proportionally to the new 13.3% grant size.</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arithmetic (clarification to Section 2.20 of the Original OA)</w:t>
      </w:r>
    </w:p>
    <w:p>
      <w:r>
        <w:rPr>
          <w:b w:val="0"/>
          <w:i w:val="0"/>
          <w:sz w:val="21"/>
        </w:rPr>
        <w:t>For the avoidance of doubt and reflecting the restated cap table in Section 1 of this Amendment, the parties acknowledge that:</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(subject to Forfeiture Conditions)</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(subject to Forfeiture Conditions)</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(subject to Forfeiture Conditions)</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