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Arial" w:cs="Arial" w:eastAsia="Arial" w:hAnsi="Arial"/>
          <w:b/>
          <w:bCs/>
          <w:color w:val="1A1A2E"/>
          <w:sz w:val="52"/>
          <w:szCs w:val="52"/>
        </w:rPr>
        <w:t xml:space="preserve">Deploying NemoClaw on GKE</w:t>
      </w:r>
    </w:p>
    <w:p>
      <w:pPr>
        <w:spacing w:after="120"/>
        <w:jc w:val="center"/>
      </w:pPr>
      <w:r>
        <w:rPr>
          <w:rFonts w:ascii="Arial" w:cs="Arial" w:eastAsia="Arial" w:hAnsi="Arial"/>
          <w:color w:val="555555"/>
          <w:sz w:val="28"/>
          <w:szCs w:val="28"/>
        </w:rPr>
        <w:t xml:space="preserve">A Step-by-Step Guide to Running NVIDIA's AI Agent Platform</w:t>
      </w:r>
    </w:p>
    <w:p>
      <w:pPr>
        <w:spacing w:after="80"/>
        <w:jc w:val="center"/>
      </w:pPr>
      <w:r>
        <w:rPr>
          <w:rFonts w:ascii="Arial" w:cs="Arial" w:eastAsia="Arial" w:hAnsi="Arial"/>
          <w:color w:val="555555"/>
          <w:sz w:val="24"/>
          <w:szCs w:val="24"/>
        </w:rPr>
        <w:t xml:space="preserve">with NIM Local Inference on Google Kubernetes Engine</w:t>
      </w:r>
    </w:p>
    <w:p>
      <w:pPr>
        <w:spacing w:after="400"/>
        <w:jc w:val="center"/>
      </w:pPr>
      <w:r>
        <w:rPr>
          <w:rFonts w:ascii="Arial" w:cs="Arial" w:eastAsia="Arial" w:hAnsi="Arial"/>
          <w:color w:val="888888"/>
          <w:sz w:val="20"/>
          <w:szCs w:val="20"/>
        </w:rPr>
        <w:t xml:space="preserve">March 2026  |  NemoClaw alpha (GTC 2026)</w:t>
      </w:r>
    </w:p>
    <w:p>
      <w:pPr>
        <w:pBdr>
          <w:top w:val="single" w:color="E65100" w:sz="3"/>
          <w:left w:val="single" w:color="E65100" w:sz="3"/>
          <w:bottom w:val="single" w:color="E65100" w:sz="3"/>
          <w:right w:val="single" w:color="E65100" w:sz="3"/>
        </w:pBdr>
        <w:shd w:fill="FFF3E0" w:val="clear"/>
        <w:spacing w:after="200" w:before="200"/>
        <w:jc w:val="center"/>
      </w:pPr>
      <w:r>
        <w:rPr>
          <w:rFonts w:ascii="Arial" w:cs="Arial" w:eastAsia="Arial" w:hAnsi="Arial"/>
          <w:b/>
          <w:bCs/>
          <w:color w:val="E65100"/>
          <w:sz w:val="22"/>
          <w:szCs w:val="22"/>
        </w:rPr>
        <w:t xml:space="preserve">  DISCLAIMER: </w:t>
      </w:r>
      <w:r>
        <w:rPr>
          <w:rFonts w:ascii="Arial" w:cs="Arial" w:eastAsia="Arial" w:hAnsi="Arial"/>
          <w:sz w:val="20"/>
          <w:szCs w:val="20"/>
        </w:rPr>
        <w:t xml:space="preserve">This is a personal project. It is not supported, endorsed, or affiliated with Google or NVIDIA. Use at your own discretion. The NemoKube repo (github.com/geoffsdesk/nemokube) is maintained informally and may not reflect the latest NemoClaw or GKE releases.</w:t>
      </w:r>
    </w:p>
    <w:p>
      <w:pPr>
        <w:spacing w:before="200"/>
        <w:jc w:val="center"/>
      </w:pPr>
      <w:r>
        <w:rPr>
          <w:rFonts w:ascii="Arial" w:cs="Arial" w:eastAsia="Arial" w:hAnsi="Arial"/>
          <w:b/>
          <w:bCs/>
          <w:color w:val="0F7B6C"/>
          <w:sz w:val="20"/>
          <w:szCs w:val="20"/>
        </w:rPr>
        <w:t xml:space="preserve">Reference repo: github.com/geoffsdesk/nemokube</w:t>
      </w:r>
    </w:p>
    <w:p>
      <w:pPr>
        <w:spacing w:after="200"/>
        <w:jc w:val="center"/>
      </w:pPr>
      <w:r>
        <w:rPr>
          <w:rFonts w:ascii="Arial" w:cs="Arial" w:eastAsia="Arial" w:hAnsi="Arial"/>
          <w:color w:val="888888"/>
          <w:sz w:val="18"/>
          <w:szCs w:val="18"/>
        </w:rPr>
        <w:t xml:space="preserve">The repo automates every step in this guide via a single deploy.sh script.</w:t>
      </w:r>
    </w:p>
    <w:p>
      <w:r>
        <w:br w:type="page"/>
      </w:r>
    </w:p>
    <w:p>
      <w:pPr>
        <w:pStyle w:val="Heading1"/>
        <w:spacing w:after="200" w:before="360"/>
      </w:pPr>
      <w:r>
        <w:rPr>
          <w:rFonts w:ascii="Arial" w:cs="Arial" w:eastAsia="Arial" w:hAnsi="Arial"/>
          <w:b/>
          <w:bCs/>
          <w:color w:val="1A1A2E"/>
          <w:sz w:val="32"/>
          <w:szCs w:val="32"/>
        </w:rPr>
        <w:t xml:space="preserve">Contents</w:t>
      </w:r>
    </w:p>
    <w:p>
      <w:pPr>
        <w:spacing w:after="160"/>
      </w:pPr>
      <w:r>
        <w:rPr>
          <w:rFonts w:ascii="Arial" w:cs="Arial" w:eastAsia="Arial" w:hAnsi="Arial"/>
          <w:sz w:val="22"/>
          <w:szCs w:val="22"/>
        </w:rPr>
        <w:t xml:space="preserve">1. Overview and Architecture</w:t>
      </w:r>
    </w:p>
    <w:p>
      <w:pPr>
        <w:spacing w:after="160"/>
      </w:pPr>
      <w:r>
        <w:rPr>
          <w:rFonts w:ascii="Arial" w:cs="Arial" w:eastAsia="Arial" w:hAnsi="Arial"/>
          <w:sz w:val="22"/>
          <w:szCs w:val="22"/>
        </w:rPr>
        <w:t xml:space="preserve">2. Prerequisites</w:t>
      </w:r>
    </w:p>
    <w:p>
      <w:pPr>
        <w:spacing w:after="160"/>
      </w:pPr>
      <w:r>
        <w:rPr>
          <w:rFonts w:ascii="Arial" w:cs="Arial" w:eastAsia="Arial" w:hAnsi="Arial"/>
          <w:sz w:val="22"/>
          <w:szCs w:val="22"/>
        </w:rPr>
        <w:t xml:space="preserve">3. GKE Cluster Setup (Regional + NAP + ComputeClass)</w:t>
      </w:r>
    </w:p>
    <w:p>
      <w:pPr>
        <w:spacing w:after="160"/>
      </w:pPr>
      <w:r>
        <w:rPr>
          <w:rFonts w:ascii="Arial" w:cs="Arial" w:eastAsia="Arial" w:hAnsi="Arial"/>
          <w:sz w:val="22"/>
          <w:szCs w:val="22"/>
        </w:rPr>
        <w:t xml:space="preserve">4. NVIDIA GPU Driver Installation</w:t>
      </w:r>
    </w:p>
    <w:p>
      <w:pPr>
        <w:spacing w:after="160"/>
      </w:pPr>
      <w:r>
        <w:rPr>
          <w:rFonts w:ascii="Arial" w:cs="Arial" w:eastAsia="Arial" w:hAnsi="Arial"/>
          <w:sz w:val="22"/>
          <w:szCs w:val="22"/>
        </w:rPr>
        <w:t xml:space="preserve">5. Building the NemoClaw Container Image</w:t>
      </w:r>
    </w:p>
    <w:p>
      <w:pPr>
        <w:spacing w:after="160"/>
      </w:pPr>
      <w:r>
        <w:rPr>
          <w:rFonts w:ascii="Arial" w:cs="Arial" w:eastAsia="Arial" w:hAnsi="Arial"/>
          <w:sz w:val="22"/>
          <w:szCs w:val="22"/>
        </w:rPr>
        <w:t xml:space="preserve">6. Deploying NIM Inference</w:t>
      </w:r>
    </w:p>
    <w:p>
      <w:pPr>
        <w:spacing w:after="160"/>
      </w:pPr>
      <w:r>
        <w:rPr>
          <w:rFonts w:ascii="Arial" w:cs="Arial" w:eastAsia="Arial" w:hAnsi="Arial"/>
          <w:sz w:val="22"/>
          <w:szCs w:val="22"/>
        </w:rPr>
        <w:t xml:space="preserve">7. Deploying the NemoClaw Agent Sandbox</w:t>
      </w:r>
    </w:p>
    <w:p>
      <w:pPr>
        <w:spacing w:after="160"/>
      </w:pPr>
      <w:r>
        <w:rPr>
          <w:rFonts w:ascii="Arial" w:cs="Arial" w:eastAsia="Arial" w:hAnsi="Arial"/>
          <w:sz w:val="22"/>
          <w:szCs w:val="22"/>
        </w:rPr>
        <w:t xml:space="preserve">8. Accessing the Dashboard</w:t>
      </w:r>
    </w:p>
    <w:p>
      <w:pPr>
        <w:spacing w:after="160"/>
      </w:pPr>
      <w:r>
        <w:rPr>
          <w:rFonts w:ascii="Arial" w:cs="Arial" w:eastAsia="Arial" w:hAnsi="Arial"/>
          <w:sz w:val="22"/>
          <w:szCs w:val="22"/>
        </w:rPr>
        <w:t xml:space="preserve">9. Known Workarounds (Current Version)</w:t>
      </w:r>
    </w:p>
    <w:p>
      <w:pPr>
        <w:spacing w:after="160"/>
      </w:pPr>
      <w:r>
        <w:rPr>
          <w:rFonts w:ascii="Arial" w:cs="Arial" w:eastAsia="Arial" w:hAnsi="Arial"/>
          <w:sz w:val="22"/>
          <w:szCs w:val="22"/>
        </w:rPr>
        <w:t xml:space="preserve">10. Cleanup</w:t>
      </w:r>
    </w:p>
    <w:p>
      <w:pPr>
        <w:spacing w:after="160"/>
      </w:pPr>
      <w:r>
        <w:rPr>
          <w:rFonts w:ascii="Arial" w:cs="Arial" w:eastAsia="Arial" w:hAnsi="Arial"/>
          <w:sz w:val="22"/>
          <w:szCs w:val="22"/>
        </w:rPr>
        <w:t xml:space="preserve">Appendix A: Model Selection Reference</w:t>
      </w:r>
    </w:p>
    <w:p>
      <w:pPr>
        <w:spacing w:after="160"/>
      </w:pPr>
      <w:r>
        <w:rPr>
          <w:rFonts w:ascii="Arial" w:cs="Arial" w:eastAsia="Arial" w:hAnsi="Arial"/>
          <w:sz w:val="22"/>
          <w:szCs w:val="22"/>
        </w:rPr>
        <w:t xml:space="preserve">Appendix B: GKE Feature Reference</w:t>
      </w:r>
    </w:p>
    <w:p>
      <w:r>
        <w:br w:type="page"/>
      </w:r>
    </w:p>
    <w:p>
      <w:pPr>
        <w:pStyle w:val="Heading1"/>
        <w:spacing w:after="200" w:before="360"/>
      </w:pPr>
      <w:r>
        <w:rPr>
          <w:rFonts w:ascii="Arial" w:cs="Arial" w:eastAsia="Arial" w:hAnsi="Arial"/>
          <w:b/>
          <w:bCs/>
          <w:color w:val="1A1A2E"/>
          <w:sz w:val="32"/>
          <w:szCs w:val="32"/>
        </w:rPr>
        <w:t xml:space="preserve">1. Overview and Architecture</w:t>
      </w:r>
    </w:p>
    <w:p>
      <w:pPr>
        <w:spacing w:after="160"/>
      </w:pPr>
      <w:r>
        <w:rPr>
          <w:rFonts w:ascii="Arial" w:cs="Arial" w:eastAsia="Arial" w:hAnsi="Arial"/>
          <w:sz w:val="22"/>
          <w:szCs w:val="22"/>
        </w:rPr>
        <w:t xml:space="preserve">This guide walks through deploying NVIDIA NemoClaw (an AI agent platform announced at GTC 2026) on Google Kubernetes Engine with local NIM inference. The end state is a fully self-contained deployment where:</w:t>
      </w:r>
    </w:p>
    <w:p>
      <w:pPr>
        <w:pStyle w:val="ListParagraph"/>
        <w:numPr>
          <w:ilvl w:val="0"/>
          <w:numId w:val="2"/>
        </w:numPr>
        <w:spacing w:after="80"/>
      </w:pPr>
      <w:r>
        <w:rPr>
          <w:rFonts w:ascii="Arial" w:cs="Arial" w:eastAsia="Arial" w:hAnsi="Arial"/>
          <w:sz w:val="22"/>
          <w:szCs w:val="22"/>
        </w:rPr>
        <w:t xml:space="preserve">NIM serves an LLM (e.g. Llama 3.1 8B) on a GPU node for inference</w:t>
      </w:r>
    </w:p>
    <w:p>
      <w:pPr>
        <w:pStyle w:val="ListParagraph"/>
        <w:numPr>
          <w:ilvl w:val="0"/>
          <w:numId w:val="2"/>
        </w:numPr>
        <w:spacing w:after="80"/>
      </w:pPr>
      <w:r>
        <w:rPr>
          <w:rFonts w:ascii="Arial" w:cs="Arial" w:eastAsia="Arial" w:hAnsi="Arial"/>
          <w:sz w:val="22"/>
          <w:szCs w:val="22"/>
        </w:rPr>
        <w:t xml:space="preserve">NemoClaw's OpenClaw gateway provides an agent dashboard and tool-use framework</w:t>
      </w:r>
    </w:p>
    <w:p>
      <w:pPr>
        <w:pStyle w:val="ListParagraph"/>
        <w:numPr>
          <w:ilvl w:val="0"/>
          <w:numId w:val="2"/>
        </w:numPr>
        <w:spacing w:after="80"/>
      </w:pPr>
      <w:r>
        <w:rPr>
          <w:rFonts w:ascii="Arial" w:cs="Arial" w:eastAsia="Arial" w:hAnsi="Arial"/>
          <w:sz w:val="22"/>
          <w:szCs w:val="22"/>
        </w:rPr>
        <w:t xml:space="preserve">GKE manages GPU provisioning automatically via ComputeClass and Node Auto-Provisioning</w:t>
      </w:r>
    </w:p>
    <w:p>
      <w:pPr>
        <w:pStyle w:val="ListParagraph"/>
        <w:numPr>
          <w:ilvl w:val="0"/>
          <w:numId w:val="2"/>
        </w:numPr>
        <w:spacing w:after="80"/>
      </w:pPr>
      <w:r>
        <w:rPr>
          <w:rFonts w:ascii="Arial" w:cs="Arial" w:eastAsia="Arial" w:hAnsi="Arial"/>
          <w:sz w:val="22"/>
          <w:szCs w:val="22"/>
        </w:rPr>
        <w:t xml:space="preserve">NetworkPolicies restrict pod-to-pod communication to the minimum required</w:t>
      </w:r>
    </w:p>
    <w:p>
      <w:pPr>
        <w:spacing w:after="160"/>
      </w:pPr>
      <w:r>
        <w:rPr>
          <w:rFonts w:ascii="Arial" w:cs="Arial" w:eastAsia="Arial" w:hAnsi="Arial"/>
          <w:sz w:val="22"/>
          <w:szCs w:val="22"/>
        </w:rPr>
        <w:t xml:space="preserve">The architecture uses two main workloads in a single namespace:</w:t>
      </w:r>
    </w:p>
    <w:p>
      <w:pPr>
        <w:spacing w:after="160"/>
      </w:pPr>
      <w:r>
        <w:rPr>
          <w:rFonts w:ascii="Arial" w:cs="Arial" w:eastAsia="Arial" w:hAnsi="Arial"/>
          <w:b/>
          <w:bCs/>
          <w:sz w:val="22"/>
          <w:szCs w:val="22"/>
        </w:rPr>
        <w:t xml:space="preserve">nim-inference</w:t>
      </w:r>
      <w:r>
        <w:rPr>
          <w:rFonts w:ascii="Arial" w:cs="Arial" w:eastAsia="Arial" w:hAnsi="Arial"/>
          <w:sz w:val="22"/>
          <w:szCs w:val="22"/>
        </w:rPr>
        <w:t xml:space="preserve"> — A Deployment running the NVIDIA NIM container on a GPU node. Serves an OpenAI-compatible chat completions API on port 8000.</w:t>
      </w:r>
    </w:p>
    <w:p>
      <w:pPr>
        <w:spacing w:after="160"/>
      </w:pPr>
      <w:r>
        <w:rPr>
          <w:rFonts w:ascii="Arial" w:cs="Arial" w:eastAsia="Arial" w:hAnsi="Arial"/>
          <w:b/>
          <w:bCs/>
          <w:sz w:val="22"/>
          <w:szCs w:val="22"/>
        </w:rPr>
        <w:t xml:space="preserve">nemokube</w:t>
      </w:r>
      <w:r>
        <w:rPr>
          <w:rFonts w:ascii="Arial" w:cs="Arial" w:eastAsia="Arial" w:hAnsi="Arial"/>
          <w:sz w:val="22"/>
          <w:szCs w:val="22"/>
        </w:rPr>
        <w:t xml:space="preserve"> — A StatefulSet running the NemoClaw sandbox container on a CPU node. Runs the OpenClaw gateway (dashboard + agent runtime) on port 18789, connecting to NIM via in-cluster DNS.</w:t>
      </w:r>
    </w:p>
    <w:p>
      <w:pPr>
        <w:pBdr>
          <w:top w:val="single" w:color="F9A825" w:sz="1"/>
          <w:left w:val="single" w:color="F9A825" w:sz="6"/>
          <w:bottom w:val="single" w:color="F9A825" w:sz="1"/>
          <w:right w:val="single" w:color="F9A825" w:sz="1"/>
        </w:pBdr>
        <w:shd w:fill="FFF8E1" w:val="clear"/>
        <w:spacing w:after="160" w:before="120"/>
      </w:pPr>
      <w:r>
        <w:rPr>
          <w:rFonts w:ascii="Arial" w:cs="Arial" w:eastAsia="Arial" w:hAnsi="Arial"/>
          <w:b/>
          <w:bCs/>
          <w:color w:val="F9A825"/>
          <w:sz w:val="20"/>
          <w:szCs w:val="20"/>
        </w:rPr>
        <w:t xml:space="preserve">  WARNING: </w:t>
      </w:r>
      <w:r>
        <w:rPr>
          <w:rFonts w:ascii="Arial" w:cs="Arial" w:eastAsia="Arial" w:hAnsi="Arial"/>
          <w:sz w:val="20"/>
          <w:szCs w:val="20"/>
        </w:rPr>
        <w:t xml:space="preserve">This guide was written against NemoClaw alpha (March 2026). NVIDIA is actively developing NemoClaw and some workarounds documented here may no longer be necessary in future releases. Check the repo for updates.</w:t>
      </w:r>
    </w:p>
    <w:p>
      <w:r>
        <w:br w:type="page"/>
      </w:r>
    </w:p>
    <w:p>
      <w:pPr>
        <w:pStyle w:val="Heading1"/>
        <w:spacing w:after="200" w:before="360"/>
      </w:pPr>
      <w:r>
        <w:rPr>
          <w:rFonts w:ascii="Arial" w:cs="Arial" w:eastAsia="Arial" w:hAnsi="Arial"/>
          <w:b/>
          <w:bCs/>
          <w:color w:val="1A1A2E"/>
          <w:sz w:val="32"/>
          <w:szCs w:val="32"/>
        </w:rPr>
        <w:t xml:space="preserve">2. Prerequisites</w:t>
      </w:r>
    </w:p>
    <w:p>
      <w:pPr>
        <w:pStyle w:val="Heading2"/>
        <w:spacing w:after="160" w:before="280"/>
      </w:pPr>
      <w:r>
        <w:rPr>
          <w:rFonts w:ascii="Arial" w:cs="Arial" w:eastAsia="Arial" w:hAnsi="Arial"/>
          <w:b/>
          <w:bCs/>
          <w:color w:val="0F7B6C"/>
          <w:sz w:val="26"/>
          <w:szCs w:val="26"/>
        </w:rPr>
        <w:t xml:space="preserve">Tools</w:t>
      </w:r>
    </w:p>
    <w:p>
      <w:pPr>
        <w:pStyle w:val="ListParagraph"/>
        <w:numPr>
          <w:ilvl w:val="0"/>
          <w:numId w:val="2"/>
        </w:numPr>
        <w:spacing w:after="80"/>
      </w:pPr>
      <w:r>
        <w:rPr>
          <w:rFonts w:ascii="Arial" w:cs="Arial" w:eastAsia="Arial" w:hAnsi="Arial"/>
          <w:sz w:val="22"/>
          <w:szCs w:val="22"/>
        </w:rPr>
        <w:t xml:space="preserve">Google Cloud SDK (gcloud) — authenticated and configured</w:t>
      </w:r>
    </w:p>
    <w:p>
      <w:pPr>
        <w:pStyle w:val="ListParagraph"/>
        <w:numPr>
          <w:ilvl w:val="0"/>
          <w:numId w:val="2"/>
        </w:numPr>
        <w:spacing w:after="80"/>
      </w:pPr>
      <w:r>
        <w:rPr>
          <w:rFonts w:ascii="Arial" w:cs="Arial" w:eastAsia="Arial" w:hAnsi="Arial"/>
          <w:sz w:val="22"/>
          <w:szCs w:val="22"/>
        </w:rPr>
        <w:t xml:space="preserve">kubectl — compatible with your GKE cluster version</w:t>
      </w:r>
    </w:p>
    <w:p>
      <w:pPr>
        <w:pStyle w:val="ListParagraph"/>
        <w:numPr>
          <w:ilvl w:val="0"/>
          <w:numId w:val="2"/>
        </w:numPr>
        <w:spacing w:after="80"/>
      </w:pPr>
      <w:r>
        <w:rPr>
          <w:rFonts w:ascii="Arial" w:cs="Arial" w:eastAsia="Arial" w:hAnsi="Arial"/>
          <w:sz w:val="22"/>
          <w:szCs w:val="22"/>
        </w:rPr>
        <w:t xml:space="preserve">Docker — for building the NemoClaw container image</w:t>
      </w:r>
    </w:p>
    <w:p>
      <w:pPr>
        <w:pStyle w:val="ListParagraph"/>
        <w:numPr>
          <w:ilvl w:val="0"/>
          <w:numId w:val="2"/>
        </w:numPr>
        <w:spacing w:after="80"/>
      </w:pPr>
      <w:r>
        <w:rPr>
          <w:rFonts w:ascii="Arial" w:cs="Arial" w:eastAsia="Arial" w:hAnsi="Arial"/>
          <w:sz w:val="22"/>
          <w:szCs w:val="22"/>
        </w:rPr>
        <w:t xml:space="preserve">git — for cloning the NemoClaw source repo</w:t>
      </w:r>
    </w:p>
    <w:p>
      <w:pPr>
        <w:pStyle w:val="Heading2"/>
        <w:spacing w:after="160" w:before="280"/>
      </w:pPr>
      <w:r>
        <w:rPr>
          <w:rFonts w:ascii="Arial" w:cs="Arial" w:eastAsia="Arial" w:hAnsi="Arial"/>
          <w:b/>
          <w:bCs/>
          <w:color w:val="0F7B6C"/>
          <w:sz w:val="26"/>
          <w:szCs w:val="26"/>
        </w:rPr>
        <w:t xml:space="preserve">Accounts and Keys</w:t>
      </w:r>
    </w:p>
    <w:p>
      <w:pPr>
        <w:pStyle w:val="ListParagraph"/>
        <w:numPr>
          <w:ilvl w:val="0"/>
          <w:numId w:val="2"/>
        </w:numPr>
        <w:spacing w:after="80"/>
      </w:pPr>
      <w:r>
        <w:rPr>
          <w:rFonts w:ascii="Arial" w:cs="Arial" w:eastAsia="Arial" w:hAnsi="Arial"/>
          <w:sz w:val="22"/>
          <w:szCs w:val="22"/>
        </w:rPr>
        <w:t xml:space="preserve">A Google Cloud project with billing enabled</w:t>
      </w:r>
    </w:p>
    <w:p>
      <w:pPr>
        <w:pStyle w:val="ListParagraph"/>
        <w:numPr>
          <w:ilvl w:val="0"/>
          <w:numId w:val="2"/>
        </w:numPr>
        <w:spacing w:after="80"/>
      </w:pPr>
      <w:r>
        <w:rPr>
          <w:rFonts w:ascii="Arial" w:cs="Arial" w:eastAsia="Arial" w:hAnsi="Arial"/>
          <w:sz w:val="22"/>
          <w:szCs w:val="22"/>
        </w:rPr>
        <w:t xml:space="preserve">An NVIDIA API key from build.nvidia.com (required for NIM image pulls and model downloads)</w:t>
      </w:r>
    </w:p>
    <w:p>
      <w:pPr>
        <w:pStyle w:val="Heading2"/>
        <w:spacing w:after="160" w:before="280"/>
      </w:pPr>
      <w:r>
        <w:rPr>
          <w:rFonts w:ascii="Arial" w:cs="Arial" w:eastAsia="Arial" w:hAnsi="Arial"/>
          <w:b/>
          <w:bCs/>
          <w:color w:val="0F7B6C"/>
          <w:sz w:val="26"/>
          <w:szCs w:val="26"/>
        </w:rPr>
        <w:t xml:space="preserve">Quotas</w:t>
      </w:r>
    </w:p>
    <w:p>
      <w:pPr>
        <w:spacing w:after="160"/>
      </w:pPr>
      <w:r>
        <w:rPr>
          <w:rFonts w:ascii="Arial" w:cs="Arial" w:eastAsia="Arial" w:hAnsi="Arial"/>
          <w:sz w:val="22"/>
          <w:szCs w:val="22"/>
        </w:rPr>
        <w:t xml:space="preserve">Before starting, verify you have sufficient quota in your target region. The deployment requires:</w:t>
      </w:r>
    </w:p>
    <w:p>
      <w:pPr>
        <w:pStyle w:val="ListParagraph"/>
        <w:numPr>
          <w:ilvl w:val="0"/>
          <w:numId w:val="2"/>
        </w:numPr>
        <w:spacing w:after="80"/>
      </w:pPr>
      <w:r>
        <w:rPr>
          <w:rFonts w:ascii="Arial" w:cs="Arial" w:eastAsia="Arial" w:hAnsi="Arial"/>
          <w:sz w:val="22"/>
          <w:szCs w:val="22"/>
        </w:rPr>
        <w:t xml:space="preserve">GPUS_ALL_REGIONS quota ≥ 1 (default is 0 — you must request an increase)</w:t>
      </w:r>
    </w:p>
    <w:p>
      <w:pPr>
        <w:pStyle w:val="ListParagraph"/>
        <w:numPr>
          <w:ilvl w:val="0"/>
          <w:numId w:val="2"/>
        </w:numPr>
        <w:spacing w:after="80"/>
      </w:pPr>
      <w:r>
        <w:rPr>
          <w:rFonts w:ascii="Arial" w:cs="Arial" w:eastAsia="Arial" w:hAnsi="Arial"/>
          <w:sz w:val="22"/>
          <w:szCs w:val="22"/>
        </w:rPr>
        <w:t xml:space="preserve">The specific GPU quota for your accelerator (e.g. NVIDIA_L4_GPUS or NVIDIA_A100_GPUS)</w:t>
      </w:r>
    </w:p>
    <w:p>
      <w:pPr>
        <w:pStyle w:val="ListParagraph"/>
        <w:numPr>
          <w:ilvl w:val="0"/>
          <w:numId w:val="2"/>
        </w:numPr>
        <w:spacing w:after="80"/>
      </w:pPr>
      <w:r>
        <w:rPr>
          <w:rFonts w:ascii="Arial" w:cs="Arial" w:eastAsia="Arial" w:hAnsi="Arial"/>
          <w:sz w:val="22"/>
          <w:szCs w:val="22"/>
        </w:rPr>
        <w:t xml:space="preserve">SSD_TOTAL_GB — if using premium-rwo storage class for model caching</w:t>
      </w:r>
    </w:p>
    <w:p>
      <w:pPr>
        <w:pBdr>
          <w:top w:val="single" w:color="E65100" w:sz="1"/>
          <w:left w:val="single" w:color="E65100" w:sz="6"/>
          <w:bottom w:val="single" w:color="E65100" w:sz="1"/>
          <w:right w:val="single" w:color="E65100" w:sz="1"/>
        </w:pBdr>
        <w:shd w:fill="FFF3E0" w:val="clear"/>
        <w:spacing w:after="160" w:before="120"/>
      </w:pPr>
      <w:r>
        <w:rPr>
          <w:rFonts w:ascii="Arial" w:cs="Arial" w:eastAsia="Arial" w:hAnsi="Arial"/>
          <w:b/>
          <w:bCs/>
          <w:color w:val="E65100"/>
          <w:sz w:val="20"/>
          <w:szCs w:val="20"/>
        </w:rPr>
        <w:t xml:space="preserve">  IMPORTANT: </w:t>
      </w:r>
      <w:r>
        <w:rPr>
          <w:rFonts w:ascii="Arial" w:cs="Arial" w:eastAsia="Arial" w:hAnsi="Arial"/>
          <w:sz w:val="20"/>
          <w:szCs w:val="20"/>
        </w:rPr>
        <w:t xml:space="preserve">GPU quota defaults to zero on new projects. Go to IAM &amp; Admin &gt; Quotas, search for 'GPUS_ALL_REGIONS', and request an increase BEFORE creating your cluster. Approval can take minutes to hours.</w:t>
      </w:r>
    </w:p>
    <w:p>
      <w:r>
        <w:br w:type="page"/>
      </w:r>
    </w:p>
    <w:p>
      <w:pPr>
        <w:pStyle w:val="Heading1"/>
        <w:spacing w:after="200" w:before="360"/>
      </w:pPr>
      <w:r>
        <w:rPr>
          <w:rFonts w:ascii="Arial" w:cs="Arial" w:eastAsia="Arial" w:hAnsi="Arial"/>
          <w:b/>
          <w:bCs/>
          <w:color w:val="1A1A2E"/>
          <w:sz w:val="32"/>
          <w:szCs w:val="32"/>
        </w:rPr>
        <w:t xml:space="preserve">3. GKE Cluster Setup</w:t>
      </w:r>
    </w:p>
    <w:p>
      <w:pPr>
        <w:spacing w:after="160"/>
      </w:pPr>
      <w:r>
        <w:rPr>
          <w:rFonts w:ascii="Arial" w:cs="Arial" w:eastAsia="Arial" w:hAnsi="Arial"/>
          <w:sz w:val="22"/>
          <w:szCs w:val="22"/>
        </w:rPr>
        <w:t xml:space="preserve">This is the most important section. The cluster configuration determines whether GPU provisioning will work smoothly or become a source of friction.</w:t>
      </w:r>
    </w:p>
    <w:p>
      <w:pPr>
        <w:pStyle w:val="Heading2"/>
        <w:spacing w:after="160" w:before="280"/>
      </w:pPr>
      <w:r>
        <w:rPr>
          <w:rFonts w:ascii="Arial" w:cs="Arial" w:eastAsia="Arial" w:hAnsi="Arial"/>
          <w:b/>
          <w:bCs/>
          <w:color w:val="0F7B6C"/>
          <w:sz w:val="26"/>
          <w:szCs w:val="26"/>
        </w:rPr>
        <w:t xml:space="preserve">3.1 Set Environment Variables</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export GCP_PROJECT="your-project-id"</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export GKE_REGION="us-central1"            # Choose a region with GPU availability</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export GKE_CLUSTER="nemokube-cluster"</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export NVIDIA_API_KEY="nvapi-..."           # From build.nvidia.com</w:t>
      </w:r>
    </w:p>
    <w:p>
      <w:pPr>
        <w:pStyle w:val="Heading2"/>
        <w:spacing w:after="160" w:before="280"/>
      </w:pPr>
      <w:r>
        <w:rPr>
          <w:rFonts w:ascii="Arial" w:cs="Arial" w:eastAsia="Arial" w:hAnsi="Arial"/>
          <w:b/>
          <w:bCs/>
          <w:color w:val="0F7B6C"/>
          <w:sz w:val="26"/>
          <w:szCs w:val="26"/>
        </w:rPr>
        <w:t xml:space="preserve">3.2 Enable APIs</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gcloud services enable container.googleapis.com artifactregistry.googleapis.com compute.googleapis.com --project=$GCP_PROJECT</w:t>
      </w:r>
    </w:p>
    <w:p>
      <w:pPr>
        <w:pStyle w:val="Heading2"/>
        <w:spacing w:after="160" w:before="280"/>
      </w:pPr>
      <w:r>
        <w:rPr>
          <w:rFonts w:ascii="Arial" w:cs="Arial" w:eastAsia="Arial" w:hAnsi="Arial"/>
          <w:b/>
          <w:bCs/>
          <w:color w:val="0F7B6C"/>
          <w:sz w:val="26"/>
          <w:szCs w:val="26"/>
        </w:rPr>
        <w:t xml:space="preserve">3.3 Check GPU Availability</w:t>
      </w:r>
    </w:p>
    <w:p>
      <w:pPr>
        <w:spacing w:after="160"/>
      </w:pPr>
      <w:r>
        <w:rPr>
          <w:rFonts w:ascii="Arial" w:cs="Arial" w:eastAsia="Arial" w:hAnsi="Arial"/>
          <w:sz w:val="22"/>
          <w:szCs w:val="22"/>
        </w:rPr>
        <w:t xml:space="preserve">Scan the zones in your region for your target GPU type:</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for zone in $(gcloud compute zones list --filter="region:$GKE_REGION AND status=UP" --format="value(name)" --project=$GCP_PROJECT); do</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gcloud compute accelerator-types describe nvidia-l4 --zone=$zone --project=$GCP_PROJECT 2&gt;/dev/null &amp;&amp; echo "  $zone: available"</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done</w:t>
      </w:r>
    </w:p>
    <w:p>
      <w:pPr>
        <w:pBdr>
          <w:top w:val="single" w:color="F9A825" w:sz="1"/>
          <w:left w:val="single" w:color="F9A825" w:sz="6"/>
          <w:bottom w:val="single" w:color="F9A825" w:sz="1"/>
          <w:right w:val="single" w:color="F9A825" w:sz="1"/>
        </w:pBdr>
        <w:shd w:fill="FFF8E1" w:val="clear"/>
        <w:spacing w:after="160" w:before="120"/>
      </w:pPr>
      <w:r>
        <w:rPr>
          <w:rFonts w:ascii="Arial" w:cs="Arial" w:eastAsia="Arial" w:hAnsi="Arial"/>
          <w:b/>
          <w:bCs/>
          <w:color w:val="F9A825"/>
          <w:sz w:val="20"/>
          <w:szCs w:val="20"/>
        </w:rPr>
        <w:t xml:space="preserve">  WARNING: </w:t>
      </w:r>
      <w:r>
        <w:rPr>
          <w:rFonts w:ascii="Arial" w:cs="Arial" w:eastAsia="Arial" w:hAnsi="Arial"/>
          <w:sz w:val="20"/>
          <w:szCs w:val="20"/>
        </w:rPr>
        <w:t xml:space="preserve">This check confirms the zone SUPPORTS the GPU type. It does NOT confirm real-time capacity. If a zone runs out of GPUs after cluster creation, the regional cluster + NAP will attempt other zones automatically.</w:t>
      </w:r>
    </w:p>
    <w:p>
      <w:pPr>
        <w:pStyle w:val="Heading2"/>
        <w:spacing w:after="160" w:before="280"/>
      </w:pPr>
      <w:r>
        <w:rPr>
          <w:rFonts w:ascii="Arial" w:cs="Arial" w:eastAsia="Arial" w:hAnsi="Arial"/>
          <w:b/>
          <w:bCs/>
          <w:color w:val="0F7B6C"/>
          <w:sz w:val="26"/>
          <w:szCs w:val="26"/>
        </w:rPr>
        <w:t xml:space="preserve">3.4 Create a Regional Cluster with NAP</w:t>
      </w:r>
    </w:p>
    <w:p>
      <w:pPr>
        <w:spacing w:after="160"/>
      </w:pPr>
      <w:r>
        <w:rPr>
          <w:rFonts w:ascii="Arial" w:cs="Arial" w:eastAsia="Arial" w:hAnsi="Arial"/>
          <w:b/>
          <w:bCs/>
          <w:sz w:val="22"/>
          <w:szCs w:val="22"/>
        </w:rPr>
        <w:t xml:space="preserve">Key design decision: </w:t>
      </w:r>
      <w:r>
        <w:rPr>
          <w:rFonts w:ascii="Arial" w:cs="Arial" w:eastAsia="Arial" w:hAnsi="Arial"/>
          <w:sz w:val="22"/>
          <w:szCs w:val="22"/>
        </w:rPr>
        <w:t xml:space="preserve">Always use a regional cluster for GPU workloads. Zonal clusters lock you to a single zone. If that zone runs out of GPU capacity, you're stuck. Regional clusters with Node Auto-Provisioning (NAP) can provision GPU nodes across multiple zones.</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gcloud container clusters create $GKE_CLUSTER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--project=$GCP_PROJECT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--region=$GKE_REGION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--release-channel=regular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--machine-type=e2-standard-4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--num-nodes=1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--enable-autoscaling --min-nodes=0 --max-nodes=3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--disk-size=50 --disk-type=pd-standard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--enable-ip-alias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--workload-pool=$GCP_PROJECT.svc.id.goog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--enable-autoprovisioning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--min-cpu=0 --max-cpu=96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--min-memory=0 --max-memory=384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--min-accelerator=type=nvidia-l4,count=0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--max-accelerator=type=nvidia-l4,count=4</w:t>
      </w:r>
    </w:p>
    <w:p>
      <w:pPr>
        <w:pBdr>
          <w:top w:val="single" w:color="43A047" w:sz="1"/>
          <w:left w:val="single" w:color="43A047" w:sz="6"/>
          <w:bottom w:val="single" w:color="43A047" w:sz="1"/>
          <w:right w:val="single" w:color="43A047" w:sz="1"/>
        </w:pBdr>
        <w:shd w:fill="E8F5E9" w:val="clear"/>
        <w:spacing w:after="160" w:before="120"/>
      </w:pPr>
      <w:r>
        <w:rPr>
          <w:rFonts w:ascii="Arial" w:cs="Arial" w:eastAsia="Arial" w:hAnsi="Arial"/>
          <w:b/>
          <w:bCs/>
          <w:color w:val="43A047"/>
          <w:sz w:val="20"/>
          <w:szCs w:val="20"/>
        </w:rPr>
        <w:t xml:space="preserve">  NOTE: </w:t>
      </w:r>
      <w:r>
        <w:rPr>
          <w:rFonts w:ascii="Arial" w:cs="Arial" w:eastAsia="Arial" w:hAnsi="Arial"/>
          <w:sz w:val="20"/>
          <w:szCs w:val="20"/>
        </w:rPr>
        <w:t xml:space="preserve">Use pd-standard for the default node pool disk type. Using pd-balanced or pd-ssd consumes SSD_TOTAL_GB quota which may be limited, especially if you have other clusters in the region.</w:t>
      </w:r>
    </w:p>
    <w:p>
      <w:pPr>
        <w:pStyle w:val="Heading2"/>
        <w:spacing w:after="160" w:before="280"/>
      </w:pPr>
      <w:r>
        <w:rPr>
          <w:rFonts w:ascii="Arial" w:cs="Arial" w:eastAsia="Arial" w:hAnsi="Arial"/>
          <w:b/>
          <w:bCs/>
          <w:color w:val="0F7B6C"/>
          <w:sz w:val="26"/>
          <w:szCs w:val="26"/>
        </w:rPr>
        <w:t xml:space="preserve">3.5 Get Credentials</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gcloud container clusters get-credentials $GKE_CLUSTER --project=$GCP_PROJECT --region=$GKE_REGION</w:t>
      </w:r>
    </w:p>
    <w:p>
      <w:pPr>
        <w:pStyle w:val="Heading2"/>
        <w:spacing w:after="160" w:before="280"/>
      </w:pPr>
      <w:r>
        <w:rPr>
          <w:rFonts w:ascii="Arial" w:cs="Arial" w:eastAsia="Arial" w:hAnsi="Arial"/>
          <w:b/>
          <w:bCs/>
          <w:color w:val="0F7B6C"/>
          <w:sz w:val="26"/>
          <w:szCs w:val="26"/>
        </w:rPr>
        <w:t xml:space="preserve">3.6 Apply ComputeClass</w:t>
      </w:r>
    </w:p>
    <w:p>
      <w:pPr>
        <w:spacing w:after="160"/>
      </w:pPr>
      <w:r>
        <w:rPr>
          <w:rFonts w:ascii="Arial" w:cs="Arial" w:eastAsia="Arial" w:hAnsi="Arial"/>
          <w:b/>
          <w:bCs/>
          <w:sz w:val="22"/>
          <w:szCs w:val="22"/>
        </w:rPr>
        <w:t xml:space="preserve">ComputeClass</w:t>
      </w:r>
      <w:r>
        <w:rPr>
          <w:rFonts w:ascii="Arial" w:cs="Arial" w:eastAsia="Arial" w:hAnsi="Arial"/>
          <w:sz w:val="22"/>
          <w:szCs w:val="22"/>
        </w:rPr>
        <w:t xml:space="preserve"> is a GKE custom resource that declares GPU provisioning priorities. NAP uses ComputeClass to decide what kind of node to create and whether to use Spot pricing. This replaces manual node pool creation with a declarative approach.</w:t>
      </w:r>
    </w:p>
    <w:p>
      <w:pPr>
        <w:spacing w:after="160"/>
      </w:pPr>
      <w:r>
        <w:rPr>
          <w:rFonts w:ascii="Arial" w:cs="Arial" w:eastAsia="Arial" w:hAnsi="Arial"/>
          <w:sz w:val="22"/>
          <w:szCs w:val="22"/>
        </w:rPr>
        <w:t xml:space="preserve">With Spot first, on-demand fallback:</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apiVersion: cloud.google.com/v1</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kind: ComputeClass</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metadata:</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name: nemokube-gpu</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spec:</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priorities:</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 machineFamily: g2</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spot: true</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gpu:</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type: nvidia-l4</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count: 1</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 machineFamily: g2</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spot: false</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gpu:</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type: nvidia-l4</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count: 1</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nodePoolAutoCreation:</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enabled: true</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activeMigration:</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optimizeRulePriority: true</w:t>
      </w:r>
    </w:p>
    <w:p>
      <w:pPr>
        <w:spacing w:after="160"/>
      </w:pPr>
      <w:r>
        <w:rPr>
          <w:rFonts w:ascii="Arial" w:cs="Arial" w:eastAsia="Arial" w:hAnsi="Arial"/>
          <w:sz w:val="22"/>
          <w:szCs w:val="22"/>
        </w:rPr>
        <w:t xml:space="preserve">Save this as computeclass.yaml and apply:</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kubectl apply -f computeclass.yaml</w:t>
      </w:r>
    </w:p>
    <w:p>
      <w:pPr>
        <w:pBdr>
          <w:top w:val="single" w:color="43A047" w:sz="1"/>
          <w:left w:val="single" w:color="43A047" w:sz="6"/>
          <w:bottom w:val="single" w:color="43A047" w:sz="1"/>
          <w:right w:val="single" w:color="43A047" w:sz="1"/>
        </w:pBdr>
        <w:shd w:fill="E8F5E9" w:val="clear"/>
        <w:spacing w:after="160" w:before="120"/>
      </w:pPr>
      <w:r>
        <w:rPr>
          <w:rFonts w:ascii="Arial" w:cs="Arial" w:eastAsia="Arial" w:hAnsi="Arial"/>
          <w:b/>
          <w:bCs/>
          <w:color w:val="43A047"/>
          <w:sz w:val="20"/>
          <w:szCs w:val="20"/>
        </w:rPr>
        <w:t xml:space="preserve">  NOTE: </w:t>
      </w:r>
      <w:r>
        <w:rPr>
          <w:rFonts w:ascii="Arial" w:cs="Arial" w:eastAsia="Arial" w:hAnsi="Arial"/>
          <w:sz w:val="20"/>
          <w:szCs w:val="20"/>
        </w:rPr>
        <w:t xml:space="preserve">activeMigration.optimizeRulePriority means GKE will automatically migrate your workload to a higher-priority node type when capacity becomes available (e.g. move from on-demand to Spot when Spot opens up).</w:t>
      </w:r>
    </w:p>
    <w:p>
      <w:r>
        <w:br w:type="page"/>
      </w:r>
    </w:p>
    <w:p>
      <w:pPr>
        <w:pStyle w:val="Heading1"/>
        <w:spacing w:after="200" w:before="360"/>
      </w:pPr>
      <w:r>
        <w:rPr>
          <w:rFonts w:ascii="Arial" w:cs="Arial" w:eastAsia="Arial" w:hAnsi="Arial"/>
          <w:b/>
          <w:bCs/>
          <w:color w:val="1A1A2E"/>
          <w:sz w:val="32"/>
          <w:szCs w:val="32"/>
        </w:rPr>
        <w:t xml:space="preserve">4. NVIDIA GPU Driver Installation</w:t>
      </w:r>
    </w:p>
    <w:p>
      <w:pPr>
        <w:spacing w:after="160"/>
      </w:pPr>
      <w:r>
        <w:rPr>
          <w:rFonts w:ascii="Arial" w:cs="Arial" w:eastAsia="Arial" w:hAnsi="Arial"/>
          <w:sz w:val="22"/>
          <w:szCs w:val="22"/>
        </w:rPr>
        <w:t xml:space="preserve">Install the NVIDIA GPU driver daemonset. This runs on every GPU node and makes the GPUs visible to Kubernetes:</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kubectl apply -f https://raw.githubusercontent.com/GoogleCloudPlatform/container-engine-accelerators/master/nvidia-driver-installer/cos/daemonset-preloaded-latest.yaml</w:t>
      </w:r>
    </w:p>
    <w:p>
      <w:pPr>
        <w:spacing w:after="160"/>
      </w:pPr>
      <w:r>
        <w:rPr>
          <w:rFonts w:ascii="Arial" w:cs="Arial" w:eastAsia="Arial" w:hAnsi="Arial"/>
          <w:sz w:val="22"/>
          <w:szCs w:val="22"/>
        </w:rPr>
        <w:t xml:space="preserve">The daemonset will activate automatically when NAP provisions a GPU node. No GPU node exists yet — it will be created when the NIM deployment is applied.</w:t>
      </w:r>
    </w:p>
    <w:p>
      <w:r>
        <w:br w:type="page"/>
      </w:r>
    </w:p>
    <w:p>
      <w:pPr>
        <w:pStyle w:val="Heading1"/>
        <w:spacing w:after="200" w:before="360"/>
      </w:pPr>
      <w:r>
        <w:rPr>
          <w:rFonts w:ascii="Arial" w:cs="Arial" w:eastAsia="Arial" w:hAnsi="Arial"/>
          <w:b/>
          <w:bCs/>
          <w:color w:val="1A1A2E"/>
          <w:sz w:val="32"/>
          <w:szCs w:val="32"/>
        </w:rPr>
        <w:t xml:space="preserve">5. Building the NemoClaw Container Image</w:t>
      </w:r>
    </w:p>
    <w:p>
      <w:pPr>
        <w:spacing w:after="160"/>
      </w:pPr>
      <w:r>
        <w:rPr>
          <w:rFonts w:ascii="Arial" w:cs="Arial" w:eastAsia="Arial" w:hAnsi="Arial"/>
          <w:sz w:val="22"/>
          <w:szCs w:val="22"/>
        </w:rPr>
        <w:t xml:space="preserve">NemoClaw doesn't publish a container image to a public registry. You need to clone the repo, build the Docker image, and push it to your own Artifact Registry.</w:t>
      </w:r>
    </w:p>
    <w:p>
      <w:pPr>
        <w:pStyle w:val="Heading2"/>
        <w:spacing w:after="160" w:before="280"/>
      </w:pPr>
      <w:r>
        <w:rPr>
          <w:rFonts w:ascii="Arial" w:cs="Arial" w:eastAsia="Arial" w:hAnsi="Arial"/>
          <w:b/>
          <w:bCs/>
          <w:color w:val="0F7B6C"/>
          <w:sz w:val="26"/>
          <w:szCs w:val="26"/>
        </w:rPr>
        <w:t xml:space="preserve">5.1 Create Artifact Registry Repository</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gcloud artifacts repositories create nemokube-images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--project=$GCP_PROJECT --repository-format=docker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--location=$GKE_REGION --description="NemoClaw container images"</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gcloud auth configure-docker $GKE_REGION-docker.pkg.dev --quiet</w:t>
      </w:r>
    </w:p>
    <w:p>
      <w:pPr>
        <w:pStyle w:val="Heading2"/>
        <w:spacing w:after="160" w:before="280"/>
      </w:pPr>
      <w:r>
        <w:rPr>
          <w:rFonts w:ascii="Arial" w:cs="Arial" w:eastAsia="Arial" w:hAnsi="Arial"/>
          <w:b/>
          <w:bCs/>
          <w:color w:val="0F7B6C"/>
          <w:sz w:val="26"/>
          <w:szCs w:val="26"/>
        </w:rPr>
        <w:t xml:space="preserve">5.2 Clone and Build</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git clone --depth 1 https://github.com/NVIDIA/NemoClaw.git</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cd NemoClaw</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docker build -t nemokube-sandbox:latest .</w:t>
      </w:r>
    </w:p>
    <w:p>
      <w:pPr>
        <w:pStyle w:val="Heading2"/>
        <w:spacing w:after="160" w:before="280"/>
      </w:pPr>
      <w:r>
        <w:rPr>
          <w:rFonts w:ascii="Arial" w:cs="Arial" w:eastAsia="Arial" w:hAnsi="Arial"/>
          <w:b/>
          <w:bCs/>
          <w:color w:val="0F7B6C"/>
          <w:sz w:val="26"/>
          <w:szCs w:val="26"/>
        </w:rPr>
        <w:t xml:space="preserve">5.3 Tag and Push</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export FULL_IMAGE=$GKE_REGION-docker.pkg.dev/$GCP_PROJECT/nemokube-images/nemokube-sandbox:latest</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docker tag nemokube-sandbox:latest $FULL_IMAGE</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docker push $FULL_IMAGE</w:t>
      </w:r>
    </w:p>
    <w:p>
      <w:r>
        <w:br w:type="page"/>
      </w:r>
    </w:p>
    <w:p>
      <w:pPr>
        <w:pStyle w:val="Heading1"/>
        <w:spacing w:after="200" w:before="360"/>
      </w:pPr>
      <w:r>
        <w:rPr>
          <w:rFonts w:ascii="Arial" w:cs="Arial" w:eastAsia="Arial" w:hAnsi="Arial"/>
          <w:b/>
          <w:bCs/>
          <w:color w:val="1A1A2E"/>
          <w:sz w:val="32"/>
          <w:szCs w:val="32"/>
        </w:rPr>
        <w:t xml:space="preserve">6. Deploying NIM Inference</w:t>
      </w:r>
    </w:p>
    <w:p>
      <w:pPr>
        <w:pStyle w:val="Heading2"/>
        <w:spacing w:after="160" w:before="280"/>
      </w:pPr>
      <w:r>
        <w:rPr>
          <w:rFonts w:ascii="Arial" w:cs="Arial" w:eastAsia="Arial" w:hAnsi="Arial"/>
          <w:b/>
          <w:bCs/>
          <w:color w:val="0F7B6C"/>
          <w:sz w:val="26"/>
          <w:szCs w:val="26"/>
        </w:rPr>
        <w:t xml:space="preserve">6.1 Create Namespace and Secrets</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kubectl create namespace nemokube</w:t>
      </w:r>
    </w:p>
    <w:p>
      <w:pPr>
        <w:spacing w:after="160"/>
      </w:pPr>
      <w:r>
        <w:rPr>
          <w:rFonts w:ascii="Arial" w:cs="Arial" w:eastAsia="Arial" w:hAnsi="Arial"/>
          <w:sz w:val="22"/>
          <w:szCs w:val="22"/>
        </w:rPr>
        <w:t xml:space="preserve">Create the NVIDIA API key secret:</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kubectl -n nemokube create secret generic nemokube-secrets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--from-literal=NVIDIA_API_KEY=$NVIDIA_API_KEY</w:t>
      </w:r>
    </w:p>
    <w:p>
      <w:pPr>
        <w:spacing w:after="160"/>
      </w:pPr>
      <w:r>
        <w:rPr>
          <w:rFonts w:ascii="Arial" w:cs="Arial" w:eastAsia="Arial" w:hAnsi="Arial"/>
          <w:sz w:val="22"/>
          <w:szCs w:val="22"/>
        </w:rPr>
        <w:t xml:space="preserve">Create the NVIDIA container registry pull secret:</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kubectl -n nemokube create secret docker-registry nvcr-pull-secret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--docker-server=nvcr.io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--docker-username='$oauthtoken'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--docker-password=$NVIDIA_API_KEY</w:t>
      </w:r>
    </w:p>
    <w:p>
      <w:pPr>
        <w:pBdr>
          <w:top w:val="single" w:color="E65100" w:sz="1"/>
          <w:left w:val="single" w:color="E65100" w:sz="6"/>
          <w:bottom w:val="single" w:color="E65100" w:sz="1"/>
          <w:right w:val="single" w:color="E65100" w:sz="1"/>
        </w:pBdr>
        <w:shd w:fill="FFF3E0" w:val="clear"/>
        <w:spacing w:after="160" w:before="120"/>
      </w:pPr>
      <w:r>
        <w:rPr>
          <w:rFonts w:ascii="Arial" w:cs="Arial" w:eastAsia="Arial" w:hAnsi="Arial"/>
          <w:b/>
          <w:bCs/>
          <w:color w:val="E65100"/>
          <w:sz w:val="20"/>
          <w:szCs w:val="20"/>
        </w:rPr>
        <w:t xml:space="preserve">  IMPORTANT: </w:t>
      </w:r>
      <w:r>
        <w:rPr>
          <w:rFonts w:ascii="Arial" w:cs="Arial" w:eastAsia="Arial" w:hAnsi="Arial"/>
          <w:sz w:val="20"/>
          <w:szCs w:val="20"/>
        </w:rPr>
        <w:t xml:space="preserve">The username for nvcr.io is literally the string $oauthtoken (with the dollar sign). Use single quotes to prevent shell expansion.</w:t>
      </w:r>
    </w:p>
    <w:p>
      <w:pPr>
        <w:pStyle w:val="Heading2"/>
        <w:spacing w:after="160" w:before="280"/>
      </w:pPr>
      <w:r>
        <w:rPr>
          <w:rFonts w:ascii="Arial" w:cs="Arial" w:eastAsia="Arial" w:hAnsi="Arial"/>
          <w:b/>
          <w:bCs/>
          <w:color w:val="0F7B6C"/>
          <w:sz w:val="26"/>
          <w:szCs w:val="26"/>
        </w:rPr>
        <w:t xml:space="preserve">6.2 Create ConfigMap</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kubectl -n nemokube create configmap nemokube-config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--from-literal=INFERENCE_PROFILE=nim-local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--from-literal=INFERENCE_MODEL=meta/llama-3.1-8b-instruct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--from-literal=NIM_ENDPOINT=http://nim-service.nemokube.svc.cluster.local:8000/v1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--from-literal=PUBLIC_PORT=18789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--from-literal=CHAT_UI_URL=http://localhost:18789</w:t>
      </w:r>
    </w:p>
    <w:p>
      <w:pPr>
        <w:pStyle w:val="Heading2"/>
        <w:spacing w:after="160" w:before="280"/>
      </w:pPr>
      <w:r>
        <w:rPr>
          <w:rFonts w:ascii="Arial" w:cs="Arial" w:eastAsia="Arial" w:hAnsi="Arial"/>
          <w:b/>
          <w:bCs/>
          <w:color w:val="0F7B6C"/>
          <w:sz w:val="26"/>
          <w:szCs w:val="26"/>
        </w:rPr>
        <w:t xml:space="preserve">6.3 Deploy NIM</w:t>
      </w:r>
    </w:p>
    <w:p>
      <w:pPr>
        <w:spacing w:after="160"/>
      </w:pPr>
      <w:r>
        <w:rPr>
          <w:rFonts w:ascii="Arial" w:cs="Arial" w:eastAsia="Arial" w:hAnsi="Arial"/>
          <w:sz w:val="22"/>
          <w:szCs w:val="22"/>
        </w:rPr>
        <w:t xml:space="preserve">The NIM deployment includes several important details:</w:t>
      </w:r>
    </w:p>
    <w:p>
      <w:pPr>
        <w:pStyle w:val="ListParagraph"/>
        <w:numPr>
          <w:ilvl w:val="0"/>
          <w:numId w:val="2"/>
        </w:numPr>
        <w:spacing w:after="80"/>
      </w:pPr>
      <w:r>
        <w:rPr>
          <w:rFonts w:ascii="Arial" w:cs="Arial" w:eastAsia="Arial" w:hAnsi="Arial"/>
          <w:b/>
          <w:bCs/>
          <w:sz w:val="22"/>
          <w:szCs w:val="22"/>
        </w:rPr>
        <w:t xml:space="preserve">nodeSelector for cloud.google.com/compute-class: nemokube-gpu</w:t>
      </w:r>
      <w:r>
        <w:rPr>
          <w:rFonts w:ascii="Arial" w:cs="Arial" w:eastAsia="Arial" w:hAnsi="Arial"/>
          <w:sz w:val="22"/>
          <w:szCs w:val="22"/>
        </w:rPr>
        <w:t xml:space="preserve"> — tells GKE to use the ComputeClass for scheduling, triggering NAP to create a GPU node</w:t>
      </w:r>
    </w:p>
    <w:p>
      <w:pPr>
        <w:pStyle w:val="ListParagraph"/>
        <w:numPr>
          <w:ilvl w:val="0"/>
          <w:numId w:val="2"/>
        </w:numPr>
        <w:spacing w:after="80"/>
      </w:pPr>
      <w:r>
        <w:rPr>
          <w:rFonts w:ascii="Arial" w:cs="Arial" w:eastAsia="Arial" w:hAnsi="Arial"/>
          <w:b/>
          <w:bCs/>
          <w:sz w:val="22"/>
          <w:szCs w:val="22"/>
        </w:rPr>
        <w:t xml:space="preserve">initContainer to fix cache permissions</w:t>
      </w:r>
      <w:r>
        <w:rPr>
          <w:rFonts w:ascii="Arial" w:cs="Arial" w:eastAsia="Arial" w:hAnsi="Arial"/>
          <w:sz w:val="22"/>
          <w:szCs w:val="22"/>
        </w:rPr>
        <w:t xml:space="preserve"> — NIM runs as non-root but the PVC is root-owned; the busybox init container runs chmod</w:t>
      </w:r>
    </w:p>
    <w:p>
      <w:pPr>
        <w:pStyle w:val="ListParagraph"/>
        <w:numPr>
          <w:ilvl w:val="0"/>
          <w:numId w:val="2"/>
        </w:numPr>
        <w:spacing w:after="80"/>
      </w:pPr>
      <w:r>
        <w:rPr>
          <w:rFonts w:ascii="Arial" w:cs="Arial" w:eastAsia="Arial" w:hAnsi="Arial"/>
          <w:b/>
          <w:bCs/>
          <w:sz w:val="22"/>
          <w:szCs w:val="22"/>
        </w:rPr>
        <w:t xml:space="preserve">NIM_SERVED_MODEL_NAME</w:t>
      </w:r>
      <w:r>
        <w:rPr>
          <w:rFonts w:ascii="Arial" w:cs="Arial" w:eastAsia="Arial" w:hAnsi="Arial"/>
          <w:sz w:val="22"/>
          <w:szCs w:val="22"/>
        </w:rPr>
        <w:t xml:space="preserve"> — makes NIM accept the short model name (without provider prefix) that NemoClaw sends</w:t>
      </w:r>
    </w:p>
    <w:p>
      <w:pPr>
        <w:pStyle w:val="ListParagraph"/>
        <w:numPr>
          <w:ilvl w:val="0"/>
          <w:numId w:val="2"/>
        </w:numPr>
        <w:spacing w:after="80"/>
      </w:pPr>
      <w:r>
        <w:rPr>
          <w:rFonts w:ascii="Arial" w:cs="Arial" w:eastAsia="Arial" w:hAnsi="Arial"/>
          <w:b/>
          <w:bCs/>
          <w:sz w:val="22"/>
          <w:szCs w:val="22"/>
        </w:rPr>
        <w:t xml:space="preserve">NIM_MAX_MODEL_LEN=32768</w:t>
      </w:r>
      <w:r>
        <w:rPr>
          <w:rFonts w:ascii="Arial" w:cs="Arial" w:eastAsia="Arial" w:hAnsi="Arial"/>
          <w:sz w:val="22"/>
          <w:szCs w:val="22"/>
        </w:rPr>
        <w:t xml:space="preserve"> — increases context window from the default 16384, which is too small for NemoClaw's system prompt</w:t>
      </w:r>
    </w:p>
    <w:p>
      <w:pPr>
        <w:pStyle w:val="ListParagraph"/>
        <w:numPr>
          <w:ilvl w:val="0"/>
          <w:numId w:val="2"/>
        </w:numPr>
        <w:spacing w:after="80"/>
      </w:pPr>
      <w:r>
        <w:rPr>
          <w:rFonts w:ascii="Arial" w:cs="Arial" w:eastAsia="Arial" w:hAnsi="Arial"/>
          <w:b/>
          <w:bCs/>
          <w:sz w:val="22"/>
          <w:szCs w:val="22"/>
        </w:rPr>
        <w:t xml:space="preserve">Both NGC_API_KEY and NVIDIA_API_KEY</w:t>
      </w:r>
      <w:r>
        <w:rPr>
          <w:rFonts w:ascii="Arial" w:cs="Arial" w:eastAsia="Arial" w:hAnsi="Arial"/>
          <w:sz w:val="22"/>
          <w:szCs w:val="22"/>
        </w:rPr>
        <w:t xml:space="preserve"> — NIM checks NGC_API_KEY, NemoClaw checks NVIDIA_API_KEY; set both to avoid silent failures</w:t>
      </w:r>
    </w:p>
    <w:p>
      <w:pPr>
        <w:spacing w:after="160"/>
      </w:pPr>
      <w:r>
        <w:rPr>
          <w:rFonts w:ascii="Arial" w:cs="Arial" w:eastAsia="Arial" w:hAnsi="Arial"/>
          <w:sz w:val="22"/>
          <w:szCs w:val="22"/>
        </w:rPr>
        <w:t xml:space="preserve">Apply the NIM deployment YAML (PersistentVolumeClaim, Deployment, and Service). The key environment variables on the NIM container:</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env:</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 name: NGC_API_KEY</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valueFrom: { secretKeyRef: { name: nemokube-secrets, key: NVIDIA_API_KEY }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 name: NVIDIA_API_KEY</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valueFrom: { secretKeyRef: { name: nemokube-secrets, key: NVIDIA_API_KEY }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 name: NIM_SERVED_MODEL_NAME</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value: "llama-3.1-8b-instruct"</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 name: NIM_MAX_MODEL_LEN</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value: "32768"</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 name: NIM_GPU_MEMORY_UTILIZATION</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value: "0.90"</w:t>
      </w:r>
    </w:p>
    <w:p>
      <w:pPr>
        <w:pBdr>
          <w:top w:val="single" w:color="43A047" w:sz="1"/>
          <w:left w:val="single" w:color="43A047" w:sz="6"/>
          <w:bottom w:val="single" w:color="43A047" w:sz="1"/>
          <w:right w:val="single" w:color="43A047" w:sz="1"/>
        </w:pBdr>
        <w:shd w:fill="E8F5E9" w:val="clear"/>
        <w:spacing w:after="160" w:before="120"/>
      </w:pPr>
      <w:r>
        <w:rPr>
          <w:rFonts w:ascii="Arial" w:cs="Arial" w:eastAsia="Arial" w:hAnsi="Arial"/>
          <w:b/>
          <w:bCs/>
          <w:color w:val="43A047"/>
          <w:sz w:val="20"/>
          <w:szCs w:val="20"/>
        </w:rPr>
        <w:t xml:space="preserve">  NOTE: </w:t>
      </w:r>
      <w:r>
        <w:rPr>
          <w:rFonts w:ascii="Arial" w:cs="Arial" w:eastAsia="Arial" w:hAnsi="Arial"/>
          <w:sz w:val="20"/>
          <w:szCs w:val="20"/>
        </w:rPr>
        <w:t xml:space="preserve">After applying, NAP will provision a GPU node (5–15 minutes depending on capacity). Monitor progress: kubectl -n nemokube get pods -w</w:t>
      </w:r>
    </w:p>
    <w:p>
      <w:r>
        <w:br w:type="page"/>
      </w:r>
    </w:p>
    <w:p>
      <w:pPr>
        <w:pStyle w:val="Heading1"/>
        <w:spacing w:after="200" w:before="360"/>
      </w:pPr>
      <w:r>
        <w:rPr>
          <w:rFonts w:ascii="Arial" w:cs="Arial" w:eastAsia="Arial" w:hAnsi="Arial"/>
          <w:b/>
          <w:bCs/>
          <w:color w:val="1A1A2E"/>
          <w:sz w:val="32"/>
          <w:szCs w:val="32"/>
        </w:rPr>
        <w:t xml:space="preserve">7. Deploying the NemoClaw Agent Sandbox</w:t>
      </w:r>
    </w:p>
    <w:p>
      <w:pPr>
        <w:spacing w:after="160"/>
      </w:pPr>
      <w:r>
        <w:rPr>
          <w:rFonts w:ascii="Arial" w:cs="Arial" w:eastAsia="Arial" w:hAnsi="Arial"/>
          <w:sz w:val="22"/>
          <w:szCs w:val="22"/>
        </w:rPr>
        <w:t xml:space="preserve">The NemoClaw sandbox runs the OpenClaw gateway, which provides the agent dashboard and tool-use runtime. It connects to NIM via in-cluster DNS.</w:t>
      </w:r>
    </w:p>
    <w:p>
      <w:pPr>
        <w:pStyle w:val="Heading2"/>
        <w:spacing w:after="160" w:before="280"/>
      </w:pPr>
      <w:r>
        <w:rPr>
          <w:rFonts w:ascii="Arial" w:cs="Arial" w:eastAsia="Arial" w:hAnsi="Arial"/>
          <w:b/>
          <w:bCs/>
          <w:color w:val="0F7B6C"/>
          <w:sz w:val="26"/>
          <w:szCs w:val="26"/>
        </w:rPr>
        <w:t xml:space="preserve">7.1 The Entrypoint Challenge</w:t>
      </w:r>
    </w:p>
    <w:p>
      <w:pPr>
        <w:pBdr>
          <w:top w:val="single" w:color="F9A825" w:sz="1"/>
          <w:left w:val="single" w:color="F9A825" w:sz="6"/>
          <w:bottom w:val="single" w:color="F9A825" w:sz="1"/>
          <w:right w:val="single" w:color="F9A825" w:sz="1"/>
        </w:pBdr>
        <w:shd w:fill="FFF8E1" w:val="clear"/>
        <w:spacing w:after="160" w:before="120"/>
      </w:pPr>
      <w:r>
        <w:rPr>
          <w:rFonts w:ascii="Arial" w:cs="Arial" w:eastAsia="Arial" w:hAnsi="Arial"/>
          <w:b/>
          <w:bCs/>
          <w:color w:val="F9A825"/>
          <w:sz w:val="20"/>
          <w:szCs w:val="20"/>
        </w:rPr>
        <w:t xml:space="preserve">  WARNING: </w:t>
      </w:r>
      <w:r>
        <w:rPr>
          <w:rFonts w:ascii="Arial" w:cs="Arial" w:eastAsia="Arial" w:hAnsi="Arial"/>
          <w:sz w:val="20"/>
          <w:szCs w:val="20"/>
        </w:rPr>
        <w:t xml:space="preserve">NemoClaw's built-in start script (nemoclaw-start) has several behaviors that are incompatible with Kubernetes. The deployment must work around these. This section explains each workaround.</w:t>
      </w:r>
    </w:p>
    <w:p>
      <w:pPr>
        <w:spacing w:after="160"/>
      </w:pPr>
      <w:r>
        <w:rPr>
          <w:rFonts w:ascii="Arial" w:cs="Arial" w:eastAsia="Arial" w:hAnsi="Arial"/>
          <w:sz w:val="22"/>
          <w:szCs w:val="22"/>
        </w:rPr>
        <w:t xml:space="preserve">The nemoclaw-start script does three things that break in K8s:</w:t>
      </w:r>
    </w:p>
    <w:p>
      <w:pPr>
        <w:pStyle w:val="ListParagraph"/>
        <w:numPr>
          <w:ilvl w:val="0"/>
          <w:numId w:val="2"/>
        </w:numPr>
        <w:spacing w:after="80"/>
      </w:pPr>
      <w:r>
        <w:rPr>
          <w:rFonts w:ascii="Arial" w:cs="Arial" w:eastAsia="Arial" w:hAnsi="Arial"/>
          <w:b/>
          <w:bCs/>
          <w:sz w:val="22"/>
          <w:szCs w:val="22"/>
        </w:rPr>
        <w:t xml:space="preserve">Backgrounds the gateway: </w:t>
      </w:r>
      <w:r>
        <w:rPr>
          <w:rFonts w:ascii="Arial" w:cs="Arial" w:eastAsia="Arial" w:hAnsi="Arial"/>
          <w:sz w:val="22"/>
          <w:szCs w:val="22"/>
        </w:rPr>
        <w:t xml:space="preserve">It runs 'nohup openclaw gateway run &amp;' and then exits. In K8s, when PID 1 exits, the container stops.</w:t>
      </w:r>
    </w:p>
    <w:p>
      <w:pPr>
        <w:pStyle w:val="ListParagraph"/>
        <w:numPr>
          <w:ilvl w:val="0"/>
          <w:numId w:val="2"/>
        </w:numPr>
        <w:spacing w:after="80"/>
      </w:pPr>
      <w:r>
        <w:rPr>
          <w:rFonts w:ascii="Arial" w:cs="Arial" w:eastAsia="Arial" w:hAnsi="Arial"/>
          <w:b/>
          <w:bCs/>
          <w:sz w:val="22"/>
          <w:szCs w:val="22"/>
        </w:rPr>
        <w:t xml:space="preserve">Overwrites config on every start: </w:t>
      </w:r>
      <w:r>
        <w:rPr>
          <w:rFonts w:ascii="Arial" w:cs="Arial" w:eastAsia="Arial" w:hAnsi="Arial"/>
          <w:sz w:val="22"/>
          <w:szCs w:val="22"/>
        </w:rPr>
        <w:t xml:space="preserve">It hardcodes nvidia/nemotron-3-super-120b-a12b as the model, overwriting any custom configuration.</w:t>
      </w:r>
    </w:p>
    <w:p>
      <w:pPr>
        <w:pStyle w:val="ListParagraph"/>
        <w:numPr>
          <w:ilvl w:val="0"/>
          <w:numId w:val="2"/>
        </w:numPr>
        <w:spacing w:after="80"/>
      </w:pPr>
      <w:r>
        <w:rPr>
          <w:rFonts w:ascii="Arial" w:cs="Arial" w:eastAsia="Arial" w:hAnsi="Arial"/>
          <w:b/>
          <w:bCs/>
          <w:sz w:val="22"/>
          <w:szCs w:val="22"/>
        </w:rPr>
        <w:t xml:space="preserve">Strips provider prefix from model names: </w:t>
      </w:r>
      <w:r>
        <w:rPr>
          <w:rFonts w:ascii="Arial" w:cs="Arial" w:eastAsia="Arial" w:hAnsi="Arial"/>
          <w:sz w:val="22"/>
          <w:szCs w:val="22"/>
        </w:rPr>
        <w:t xml:space="preserve">OpenClaw interprets 'meta/' in 'meta/llama-3.1-8b-instruct' as a provider prefix and strips it when calling NIM. NIM then returns a 404 because the model is registered as 'meta/llama-3.1-8b-instruct'.</w:t>
      </w:r>
    </w:p>
    <w:p>
      <w:pPr>
        <w:pStyle w:val="Heading2"/>
        <w:spacing w:after="160" w:before="280"/>
      </w:pPr>
      <w:r>
        <w:rPr>
          <w:rFonts w:ascii="Arial" w:cs="Arial" w:eastAsia="Arial" w:hAnsi="Arial"/>
          <w:b/>
          <w:bCs/>
          <w:color w:val="0F7B6C"/>
          <w:sz w:val="26"/>
          <w:szCs w:val="26"/>
        </w:rPr>
        <w:t xml:space="preserve">7.2 The Workaround</w:t>
      </w:r>
    </w:p>
    <w:p>
      <w:pPr>
        <w:spacing w:after="160"/>
      </w:pPr>
      <w:r>
        <w:rPr>
          <w:rFonts w:ascii="Arial" w:cs="Arial" w:eastAsia="Arial" w:hAnsi="Arial"/>
          <w:sz w:val="22"/>
          <w:szCs w:val="22"/>
        </w:rPr>
        <w:t xml:space="preserve">The container entrypoint must: (1) let nemoclaw-start do its initial setup (plugin install, auth), (2) patch the config with the correct model and provider, (3) stop the backgrounded gateway, and (4) exec the gateway in the foreground as PID 1.</w:t>
      </w:r>
    </w:p>
    <w:p>
      <w:pPr>
        <w:spacing w:after="160"/>
      </w:pPr>
      <w:r>
        <w:rPr>
          <w:rFonts w:ascii="Arial" w:cs="Arial" w:eastAsia="Arial" w:hAnsi="Arial"/>
          <w:sz w:val="22"/>
          <w:szCs w:val="22"/>
        </w:rPr>
        <w:t xml:space="preserve">Container command:</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/usr/local/bin/nemoclaw-start &amp;</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SETUP_PID=$!</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wait $SETUP_PID 2&gt;/dev/null || true</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sleep 2</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Patch config with correct model and NIM endpoint</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python3 -c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import json, os</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path = os.path.expanduser('~/.openclaw/openclaw.json')</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cfg = json.load(open(path))</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model = os.environ.get('INFERENCE_MODEL', 'meta/llama-3.1-8b-instruct')</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cfg['agents']['defaults']['model']['primary'] = model</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 set provider config with correct baseUrl, model id, origins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json.dump(cfg, open(path, 'w'), indent=2)</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openclaw gateway stop 2&gt;/dev/null || true</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sleep 1</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exec openclaw gateway run</w:t>
      </w:r>
    </w:p>
    <w:p>
      <w:pPr>
        <w:pBdr>
          <w:top w:val="single" w:color="43A047" w:sz="1"/>
          <w:left w:val="single" w:color="43A047" w:sz="6"/>
          <w:bottom w:val="single" w:color="43A047" w:sz="1"/>
          <w:right w:val="single" w:color="43A047" w:sz="1"/>
        </w:pBdr>
        <w:shd w:fill="E8F5E9" w:val="clear"/>
        <w:spacing w:after="160" w:before="120"/>
      </w:pPr>
      <w:r>
        <w:rPr>
          <w:rFonts w:ascii="Arial" w:cs="Arial" w:eastAsia="Arial" w:hAnsi="Arial"/>
          <w:b/>
          <w:bCs/>
          <w:color w:val="43A047"/>
          <w:sz w:val="20"/>
          <w:szCs w:val="20"/>
        </w:rPr>
        <w:t xml:space="preserve">  NOTE: </w:t>
      </w:r>
      <w:r>
        <w:rPr>
          <w:rFonts w:ascii="Arial" w:cs="Arial" w:eastAsia="Arial" w:hAnsi="Arial"/>
          <w:sz w:val="20"/>
          <w:szCs w:val="20"/>
        </w:rPr>
        <w:t xml:space="preserve">See deploy.sh in the NemoKube repo for the complete entrypoint script with all config patching. The Python block is ~20 lines and sets the provider, model, origins, and API key correctly.</w:t>
      </w:r>
    </w:p>
    <w:p>
      <w:pPr>
        <w:pStyle w:val="Heading2"/>
        <w:spacing w:after="160" w:before="280"/>
      </w:pPr>
      <w:r>
        <w:rPr>
          <w:rFonts w:ascii="Arial" w:cs="Arial" w:eastAsia="Arial" w:hAnsi="Arial"/>
          <w:b/>
          <w:bCs/>
          <w:color w:val="0F7B6C"/>
          <w:sz w:val="26"/>
          <w:szCs w:val="26"/>
        </w:rPr>
        <w:t xml:space="preserve">7.3 Deploy the StatefulSet</w:t>
      </w:r>
    </w:p>
    <w:p>
      <w:pPr>
        <w:spacing w:after="160"/>
      </w:pPr>
      <w:r>
        <w:rPr>
          <w:rFonts w:ascii="Arial" w:cs="Arial" w:eastAsia="Arial" w:hAnsi="Arial"/>
          <w:sz w:val="22"/>
          <w:szCs w:val="22"/>
        </w:rPr>
        <w:t xml:space="preserve">Apply the NemoClaw StatefulSet, headless Service, and dashboard Service. The StatefulSet uses emptyDir for ephemeral storage and connects to the NIM_ENDPOINT via the ConfigMap.</w:t>
      </w:r>
    </w:p>
    <w:p>
      <w:pPr>
        <w:spacing w:after="160"/>
      </w:pPr>
      <w:r>
        <w:rPr>
          <w:rFonts w:ascii="Arial" w:cs="Arial" w:eastAsia="Arial" w:hAnsi="Arial"/>
          <w:sz w:val="22"/>
          <w:szCs w:val="22"/>
        </w:rPr>
        <w:t xml:space="preserve">After applying, check the pod status:</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kubectl -n nemokube get pods -w</w:t>
      </w:r>
    </w:p>
    <w:p>
      <w:pPr>
        <w:spacing w:after="160"/>
      </w:pPr>
      <w:r>
        <w:rPr>
          <w:rFonts w:ascii="Arial" w:cs="Arial" w:eastAsia="Arial" w:hAnsi="Arial"/>
          <w:sz w:val="22"/>
          <w:szCs w:val="22"/>
        </w:rPr>
        <w:t xml:space="preserve">The nemokube-0 pod should reach Running state within 30–60 seconds (it runs on a CPU node, no GPU wait).</w:t>
      </w:r>
    </w:p>
    <w:p>
      <w:r>
        <w:br w:type="page"/>
      </w:r>
    </w:p>
    <w:p>
      <w:pPr>
        <w:pStyle w:val="Heading1"/>
        <w:spacing w:after="200" w:before="360"/>
      </w:pPr>
      <w:r>
        <w:rPr>
          <w:rFonts w:ascii="Arial" w:cs="Arial" w:eastAsia="Arial" w:hAnsi="Arial"/>
          <w:b/>
          <w:bCs/>
          <w:color w:val="1A1A2E"/>
          <w:sz w:val="32"/>
          <w:szCs w:val="32"/>
        </w:rPr>
        <w:t xml:space="preserve">8. Accessing the Dashboard</w:t>
      </w:r>
    </w:p>
    <w:p>
      <w:pPr>
        <w:pStyle w:val="Heading2"/>
        <w:spacing w:after="160" w:before="280"/>
      </w:pPr>
      <w:r>
        <w:rPr>
          <w:rFonts w:ascii="Arial" w:cs="Arial" w:eastAsia="Arial" w:hAnsi="Arial"/>
          <w:b/>
          <w:bCs/>
          <w:color w:val="0F7B6C"/>
          <w:sz w:val="26"/>
          <w:szCs w:val="26"/>
        </w:rPr>
        <w:t xml:space="preserve">8.1 Port-Forward</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kubectl -n nemokube port-forward svc/nemokube-dashboard 18789:80</w:t>
      </w:r>
    </w:p>
    <w:p>
      <w:pPr>
        <w:pStyle w:val="Heading2"/>
        <w:spacing w:after="160" w:before="280"/>
      </w:pPr>
      <w:r>
        <w:rPr>
          <w:rFonts w:ascii="Arial" w:cs="Arial" w:eastAsia="Arial" w:hAnsi="Arial"/>
          <w:b/>
          <w:bCs/>
          <w:color w:val="0F7B6C"/>
          <w:sz w:val="26"/>
          <w:szCs w:val="26"/>
        </w:rPr>
        <w:t xml:space="preserve">8.2 Get the Auth Token</w:t>
      </w:r>
    </w:p>
    <w:p>
      <w:pPr>
        <w:spacing w:after="160"/>
      </w:pPr>
      <w:r>
        <w:rPr>
          <w:rFonts w:ascii="Arial" w:cs="Arial" w:eastAsia="Arial" w:hAnsi="Arial"/>
          <w:sz w:val="22"/>
          <w:szCs w:val="22"/>
        </w:rPr>
        <w:t xml:space="preserve">OpenClaw requires token-based authentication. Extract the token from the running pod:</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kubectl -n nemokube exec nemokube-0 -- python3 -c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import json; cfg = json.load(open('/sandbox/.openclaw/openclaw.json'));</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print(cfg.get('gateway',{}).get('authToken',''))"</w:t>
      </w:r>
    </w:p>
    <w:p>
      <w:pPr>
        <w:spacing w:after="160"/>
      </w:pPr>
      <w:r>
        <w:rPr>
          <w:rFonts w:ascii="Arial" w:cs="Arial" w:eastAsia="Arial" w:hAnsi="Arial"/>
          <w:sz w:val="22"/>
          <w:szCs w:val="22"/>
        </w:rPr>
        <w:t xml:space="preserve">Then open in your browser:</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http://localhost:18789/#token=YOUR_TOKEN_HERE</w:t>
      </w:r>
    </w:p>
    <w:p>
      <w:pPr>
        <w:pBdr>
          <w:top w:val="single" w:color="F9A825" w:sz="1"/>
          <w:left w:val="single" w:color="F9A825" w:sz="6"/>
          <w:bottom w:val="single" w:color="F9A825" w:sz="1"/>
          <w:right w:val="single" w:color="F9A825" w:sz="1"/>
        </w:pBdr>
        <w:shd w:fill="FFF8E1" w:val="clear"/>
        <w:spacing w:after="160" w:before="120"/>
      </w:pPr>
      <w:r>
        <w:rPr>
          <w:rFonts w:ascii="Arial" w:cs="Arial" w:eastAsia="Arial" w:hAnsi="Arial"/>
          <w:b/>
          <w:bCs/>
          <w:color w:val="F9A825"/>
          <w:sz w:val="20"/>
          <w:szCs w:val="20"/>
        </w:rPr>
        <w:t xml:space="preserve">  WARNING: </w:t>
      </w:r>
      <w:r>
        <w:rPr>
          <w:rFonts w:ascii="Arial" w:cs="Arial" w:eastAsia="Arial" w:hAnsi="Arial"/>
          <w:sz w:val="20"/>
          <w:szCs w:val="20"/>
        </w:rPr>
        <w:t xml:space="preserve">If you see 'too many failed authentication attempts', restart the pod to reset the rate limiter: kubectl -n nemokube delete pod nemokube-0</w:t>
      </w:r>
    </w:p>
    <w:p>
      <w:pPr>
        <w:pStyle w:val="Heading2"/>
        <w:spacing w:after="160" w:before="280"/>
      </w:pPr>
      <w:r>
        <w:rPr>
          <w:rFonts w:ascii="Arial" w:cs="Arial" w:eastAsia="Arial" w:hAnsi="Arial"/>
          <w:b/>
          <w:bCs/>
          <w:color w:val="0F7B6C"/>
          <w:sz w:val="26"/>
          <w:szCs w:val="26"/>
        </w:rPr>
        <w:t xml:space="preserve">8.3 Verify</w:t>
      </w:r>
    </w:p>
    <w:p>
      <w:pPr>
        <w:spacing w:after="160"/>
      </w:pPr>
      <w:r>
        <w:rPr>
          <w:rFonts w:ascii="Arial" w:cs="Arial" w:eastAsia="Arial" w:hAnsi="Arial"/>
          <w:sz w:val="22"/>
          <w:szCs w:val="22"/>
        </w:rPr>
        <w:t xml:space="preserve">The dashboard should show the Agents page. Send a test message to confirm the NemoClaw agent can reach NIM and generate a response.</w:t>
      </w:r>
    </w:p>
    <w:p>
      <w:pPr>
        <w:spacing w:after="160"/>
      </w:pPr>
      <w:r>
        <w:rPr>
          <w:rFonts w:ascii="Arial" w:cs="Arial" w:eastAsia="Arial" w:hAnsi="Arial"/>
          <w:sz w:val="22"/>
          <w:szCs w:val="22"/>
        </w:rPr>
        <w:t xml:space="preserve">You can also test NIM directly:</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kubectl -n nemokube exec nemokube-0 -- curl -s -X POST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http://nim-service.nemokube.svc.cluster.local:8000/v1/chat/completions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-H 'Content-Type: application/json' \</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  -d '{"model":"meta/llama-3.1-8b-instruct","messages":[{"role":"user","content":"Hello"}]}'</w:t>
      </w:r>
    </w:p>
    <w:p>
      <w:r>
        <w:br w:type="page"/>
      </w:r>
    </w:p>
    <w:p>
      <w:pPr>
        <w:pStyle w:val="Heading1"/>
        <w:spacing w:after="200" w:before="360"/>
      </w:pPr>
      <w:r>
        <w:rPr>
          <w:rFonts w:ascii="Arial" w:cs="Arial" w:eastAsia="Arial" w:hAnsi="Arial"/>
          <w:b/>
          <w:bCs/>
          <w:color w:val="1A1A2E"/>
          <w:sz w:val="32"/>
          <w:szCs w:val="32"/>
        </w:rPr>
        <w:t xml:space="preserve">9. Known Workarounds (Current Version)</w:t>
      </w:r>
    </w:p>
    <w:p>
      <w:pPr>
        <w:spacing w:after="160"/>
      </w:pPr>
      <w:r>
        <w:rPr>
          <w:rFonts w:ascii="Arial" w:cs="Arial" w:eastAsia="Arial" w:hAnsi="Arial"/>
          <w:sz w:val="22"/>
          <w:szCs w:val="22"/>
        </w:rPr>
        <w:t xml:space="preserve">These workarounds are specific to NemoClaw alpha (March 2026). They may become unnecessary as NVIDIA updates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Gateway exits immediately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nemoclaw-start backgrounds the gateway and exits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Run nemoclaw-start for setup only, then exec openclaw gateway run in foreground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Config overwritten on restart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nemoclaw-start hardcodes the model to nemotron-3-super-120b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Patch config after nemoclaw-start runs, before starting gateway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Model 404 from NIM</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OpenClaw strips provider prefix (meta/) from model name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Set NIM_SERVED_MODEL_NAME to the short name (without prefix)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Context overflow on first message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NIM defaults to 16K context; NemoClaw system prompt is larger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Set NIM_MAX_MODEL_LEN=32768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Origin not allowed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Gateway sets allowedOrigins to 127.0.0.1 but browser uses localhost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Include both http://localhost:18789 and http://127.0.0.1:18789 in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PVC permission denied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NIM runs as non-root, PVC is root-owned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busybox initContainer with chmod -R 777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API key 'not found'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NIM wants NGC_API_KEY, NemoClaw uses NVIDIA_API_KEY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Set both environment variables from the same secret</w:t>
            </w:r>
          </w:p>
        </w:tc>
      </w:tr>
    </w:tbl>
    <w:p>
      <w:r>
        <w:br w:type="page"/>
      </w:r>
    </w:p>
    <w:p>
      <w:pPr>
        <w:pStyle w:val="Heading1"/>
        <w:spacing w:after="200" w:before="360"/>
      </w:pPr>
      <w:r>
        <w:rPr>
          <w:rFonts w:ascii="Arial" w:cs="Arial" w:eastAsia="Arial" w:hAnsi="Arial"/>
          <w:b/>
          <w:bCs/>
          <w:color w:val="1A1A2E"/>
          <w:sz w:val="32"/>
          <w:szCs w:val="32"/>
        </w:rPr>
        <w:t xml:space="preserve">10. Cleanup</w:t>
      </w:r>
    </w:p>
    <w:p>
      <w:pPr>
        <w:spacing w:after="160"/>
      </w:pPr>
      <w:r>
        <w:rPr>
          <w:rFonts w:ascii="Arial" w:cs="Arial" w:eastAsia="Arial" w:hAnsi="Arial"/>
          <w:sz w:val="22"/>
          <w:szCs w:val="22"/>
        </w:rPr>
        <w:t xml:space="preserve">To tear down the deployment and stop incurring costs:</w:t>
      </w:r>
    </w:p>
    <w:p>
      <w:pPr>
        <w:pStyle w:val="Heading3"/>
        <w:spacing w:after="120" w:before="200"/>
      </w:pPr>
      <w:r>
        <w:rPr>
          <w:rFonts w:ascii="Arial" w:cs="Arial" w:eastAsia="Arial" w:hAnsi="Arial"/>
          <w:b/>
          <w:bCs/>
          <w:color w:val="333333"/>
          <w:sz w:val="22"/>
          <w:szCs w:val="22"/>
        </w:rPr>
        <w:t xml:space="preserve">Delete the GKE cluster (primary cost)</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gcloud container clusters delete $GKE_CLUSTER --region=$GKE_REGION --project=$GCP_PROJECT --quiet</w:t>
      </w:r>
    </w:p>
    <w:p>
      <w:pPr>
        <w:pStyle w:val="Heading3"/>
        <w:spacing w:after="120" w:before="200"/>
      </w:pPr>
      <w:r>
        <w:rPr>
          <w:rFonts w:ascii="Arial" w:cs="Arial" w:eastAsia="Arial" w:hAnsi="Arial"/>
          <w:b/>
          <w:bCs/>
          <w:color w:val="333333"/>
          <w:sz w:val="22"/>
          <w:szCs w:val="22"/>
        </w:rPr>
        <w:t xml:space="preserve">Delete the Artifact Registry repo</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gcloud artifacts repositories delete nemokube-images --location=$GKE_REGION --project=$GCP_PROJECT --quiet</w:t>
      </w:r>
    </w:p>
    <w:p>
      <w:pPr>
        <w:pStyle w:val="Heading3"/>
        <w:spacing w:after="120" w:before="200"/>
      </w:pPr>
      <w:r>
        <w:rPr>
          <w:rFonts w:ascii="Arial" w:cs="Arial" w:eastAsia="Arial" w:hAnsi="Arial"/>
          <w:b/>
          <w:bCs/>
          <w:color w:val="333333"/>
          <w:sz w:val="22"/>
          <w:szCs w:val="22"/>
        </w:rPr>
        <w:t xml:space="preserve">Check for lingering disks</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gcloud compute disks list --project=$GCP_PROJECT --filter="name~nemokube"</w:t>
      </w:r>
    </w:p>
    <w:p>
      <w:pPr>
        <w:spacing w:after="160"/>
      </w:pPr>
      <w:r>
        <w:rPr>
          <w:rFonts w:ascii="Arial" w:cs="Arial" w:eastAsia="Arial" w:hAnsi="Arial"/>
          <w:sz w:val="22"/>
          <w:szCs w:val="22"/>
        </w:rPr>
        <w:t xml:space="preserve">Delete any disks that appear:</w:t>
      </w:r>
    </w:p>
    <w:p>
      <w:pPr>
        <w:pBdr>
          <w:top w:val="single" w:color="DDDDDD" w:sz="1"/>
          <w:left w:val="single" w:color="DDDDDD" w:sz="1"/>
          <w:bottom w:val="single" w:color="DDDDDD" w:sz="1"/>
          <w:right w:val="single" w:color="DDDDDD" w:sz="1"/>
        </w:pBdr>
        <w:shd w:fill="F5F5F5" w:val="clear"/>
        <w:spacing w:after="80" w:before="80"/>
      </w:pPr>
      <w:r>
        <w:rPr>
          <w:rFonts w:ascii="Courier New" w:cs="Courier New" w:eastAsia="Courier New" w:hAnsi="Courier New"/>
          <w:color w:val="333333"/>
          <w:sz w:val="18"/>
          <w:szCs w:val="18"/>
        </w:rPr>
        <w:t xml:space="preserve">gcloud compute disks delete DISK_NAME --zone=ZONE --quiet</w:t>
      </w:r>
    </w:p>
    <w:p>
      <w:r>
        <w:br w:type="page"/>
      </w:r>
    </w:p>
    <w:p>
      <w:pPr>
        <w:pStyle w:val="Heading1"/>
        <w:spacing w:after="200" w:before="360"/>
      </w:pPr>
      <w:r>
        <w:rPr>
          <w:rFonts w:ascii="Arial" w:cs="Arial" w:eastAsia="Arial" w:hAnsi="Arial"/>
          <w:b/>
          <w:bCs/>
          <w:color w:val="1A1A2E"/>
          <w:sz w:val="32"/>
          <w:szCs w:val="32"/>
        </w:rPr>
        <w:t xml:space="preserve">Appendix A: Model Selection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500"/>
        <w:gridCol w:w="1100"/>
        <w:gridCol w:w="1360"/>
        <w:gridCol w:w="15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VRAM</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GPU</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PVC</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Machine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Cost/hr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nvidia/nemotron-3-nano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~23GB</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A100 40GB</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80Gi</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a2-highgpu-1g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~$3.67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nvidia/llama-3.3-nemotron-super-49b-v1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~24GB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A100 40GB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120Gi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a2-highgpu-1g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~$3.67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nvidia/nemotron-3-super-120b-a12b</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~40GB</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A100 40GB</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250Gi</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a2-highgpu-1g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~$3.67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meta/llama-3.1-8b-instruct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~16GB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L4 24GB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40Gi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g2-standard-8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~$0.70</w:t>
            </w:r>
          </w:p>
        </w:tc>
      </w:tr>
    </w:tbl>
    <w:p>
      <w:pPr>
        <w:pBdr>
          <w:top w:val="single" w:color="F9A825" w:sz="1"/>
          <w:left w:val="single" w:color="F9A825" w:sz="6"/>
          <w:bottom w:val="single" w:color="F9A825" w:sz="1"/>
          <w:right w:val="single" w:color="F9A825" w:sz="1"/>
        </w:pBdr>
        <w:shd w:fill="FFF8E1" w:val="clear"/>
        <w:spacing w:after="160" w:before="120"/>
      </w:pPr>
      <w:r>
        <w:rPr>
          <w:rFonts w:ascii="Arial" w:cs="Arial" w:eastAsia="Arial" w:hAnsi="Arial"/>
          <w:b/>
          <w:bCs/>
          <w:color w:val="F9A825"/>
          <w:sz w:val="20"/>
          <w:szCs w:val="20"/>
        </w:rPr>
        <w:t xml:space="preserve">  WARNING: </w:t>
      </w:r>
      <w:r>
        <w:rPr>
          <w:rFonts w:ascii="Arial" w:cs="Arial" w:eastAsia="Arial" w:hAnsi="Arial"/>
          <w:sz w:val="20"/>
          <w:szCs w:val="20"/>
        </w:rPr>
        <w:t xml:space="preserve">VRAM values are runtime measurements, not checkpoint sizes. NVIDIA's published VRAM numbers for some models are significantly lower than actual runtime requirements. The Nemotron Nano 30B is listed as 8GB but actually requires ~23GB.</w:t>
      </w:r>
    </w:p>
    <w:p>
      <w:r>
        <w:br w:type="page"/>
      </w:r>
    </w:p>
    <w:p>
      <w:pPr>
        <w:pStyle w:val="Heading1"/>
        <w:spacing w:after="200" w:before="360"/>
      </w:pPr>
      <w:r>
        <w:rPr>
          <w:rFonts w:ascii="Arial" w:cs="Arial" w:eastAsia="Arial" w:hAnsi="Arial"/>
          <w:b/>
          <w:bCs/>
          <w:color w:val="1A1A2E"/>
          <w:sz w:val="32"/>
          <w:szCs w:val="32"/>
        </w:rPr>
        <w:t xml:space="preserve">Appendix B: GKE Feature Reference</w:t>
      </w:r>
    </w:p>
    <w:p>
      <w:pPr>
        <w:spacing w:after="160"/>
      </w:pPr>
      <w:r>
        <w:rPr>
          <w:rFonts w:ascii="Arial" w:cs="Arial" w:eastAsia="Arial" w:hAnsi="Arial"/>
          <w:sz w:val="22"/>
          <w:szCs w:val="22"/>
        </w:rPr>
        <w:t xml:space="preserve">This deployment uses several GKE features that are particularly valuable for GPU workloads:</w:t>
      </w:r>
    </w:p>
    <w:p>
      <w:pPr>
        <w:pStyle w:val="Heading2"/>
        <w:spacing w:after="160" w:before="280"/>
      </w:pPr>
      <w:r>
        <w:rPr>
          <w:rFonts w:ascii="Arial" w:cs="Arial" w:eastAsia="Arial" w:hAnsi="Arial"/>
          <w:b/>
          <w:bCs/>
          <w:color w:val="0F7B6C"/>
          <w:sz w:val="26"/>
          <w:szCs w:val="26"/>
        </w:rPr>
        <w:t xml:space="preserve">ComputeClass</w:t>
      </w:r>
    </w:p>
    <w:p>
      <w:pPr>
        <w:spacing w:after="160"/>
      </w:pPr>
      <w:r>
        <w:rPr>
          <w:rFonts w:ascii="Arial" w:cs="Arial" w:eastAsia="Arial" w:hAnsi="Arial"/>
          <w:sz w:val="22"/>
          <w:szCs w:val="22"/>
        </w:rPr>
        <w:t xml:space="preserve">A custom resource that declares GPU provisioning priorities. Instead of creating node pools manually, you declare what you want (GPU type, Spot vs. on-demand) and GKE provisions it. Priorities are evaluated top-to-bottom with automatic fallback.</w:t>
      </w:r>
    </w:p>
    <w:p>
      <w:pPr>
        <w:pStyle w:val="Heading2"/>
        <w:spacing w:after="160" w:before="280"/>
      </w:pPr>
      <w:r>
        <w:rPr>
          <w:rFonts w:ascii="Arial" w:cs="Arial" w:eastAsia="Arial" w:hAnsi="Arial"/>
          <w:b/>
          <w:bCs/>
          <w:color w:val="0F7B6C"/>
          <w:sz w:val="26"/>
          <w:szCs w:val="26"/>
        </w:rPr>
        <w:t xml:space="preserve">Node Auto-Provisioning (NAP)</w:t>
      </w:r>
    </w:p>
    <w:p>
      <w:pPr>
        <w:spacing w:after="160"/>
      </w:pPr>
      <w:r>
        <w:rPr>
          <w:rFonts w:ascii="Arial" w:cs="Arial" w:eastAsia="Arial" w:hAnsi="Arial"/>
          <w:sz w:val="22"/>
          <w:szCs w:val="22"/>
        </w:rPr>
        <w:t xml:space="preserve">Creates and manages node pools automatically based on pending pod requirements. When a pod needs a GPU and no suitable node exists, NAP creates a new node pool in a zone that has capacity. This eliminates manual node pool management for GPU workloads.</w:t>
      </w:r>
    </w:p>
    <w:p>
      <w:pPr>
        <w:pStyle w:val="Heading2"/>
        <w:spacing w:after="160" w:before="280"/>
      </w:pPr>
      <w:r>
        <w:rPr>
          <w:rFonts w:ascii="Arial" w:cs="Arial" w:eastAsia="Arial" w:hAnsi="Arial"/>
          <w:b/>
          <w:bCs/>
          <w:color w:val="0F7B6C"/>
          <w:sz w:val="26"/>
          <w:szCs w:val="26"/>
        </w:rPr>
        <w:t xml:space="preserve">Regional Clusters</w:t>
      </w:r>
    </w:p>
    <w:p>
      <w:pPr>
        <w:spacing w:after="160"/>
      </w:pPr>
      <w:r>
        <w:rPr>
          <w:rFonts w:ascii="Arial" w:cs="Arial" w:eastAsia="Arial" w:hAnsi="Arial"/>
          <w:sz w:val="22"/>
          <w:szCs w:val="22"/>
        </w:rPr>
        <w:t xml:space="preserve">Spreads the control plane and node pools across multiple zones. Critical for GPU workloads because GPU capacity is zone-specific. If one zone runs out, the cluster can provision in another zone within the region.</w:t>
      </w:r>
    </w:p>
    <w:p>
      <w:pPr>
        <w:pStyle w:val="Heading2"/>
        <w:spacing w:after="160" w:before="280"/>
      </w:pPr>
      <w:r>
        <w:rPr>
          <w:rFonts w:ascii="Arial" w:cs="Arial" w:eastAsia="Arial" w:hAnsi="Arial"/>
          <w:b/>
          <w:bCs/>
          <w:color w:val="0F7B6C"/>
          <w:sz w:val="26"/>
          <w:szCs w:val="26"/>
        </w:rPr>
        <w:t xml:space="preserve">activeMigration</w:t>
      </w:r>
    </w:p>
    <w:p>
      <w:pPr>
        <w:spacing w:after="160"/>
      </w:pPr>
      <w:r>
        <w:rPr>
          <w:rFonts w:ascii="Arial" w:cs="Arial" w:eastAsia="Arial" w:hAnsi="Arial"/>
          <w:sz w:val="22"/>
          <w:szCs w:val="22"/>
        </w:rPr>
        <w:t xml:space="preserve">When a higher-priority node type becomes available (e.g. Spot capacity opens up after falling back to on-demand), GKE automatically migrates the workload. This optimizes cost without manual intervention.</w:t>
      </w:r>
    </w:p>
    <w:p>
      <w:pPr>
        <w:pStyle w:val="Heading2"/>
        <w:spacing w:after="160" w:before="280"/>
      </w:pPr>
      <w:r>
        <w:rPr>
          <w:rFonts w:ascii="Arial" w:cs="Arial" w:eastAsia="Arial" w:hAnsi="Arial"/>
          <w:b/>
          <w:bCs/>
          <w:color w:val="0F7B6C"/>
          <w:sz w:val="26"/>
          <w:szCs w:val="26"/>
        </w:rPr>
        <w:t xml:space="preserve">NetworkPolicies</w:t>
      </w:r>
    </w:p>
    <w:p>
      <w:pPr>
        <w:spacing w:after="160"/>
      </w:pPr>
      <w:r>
        <w:rPr>
          <w:rFonts w:ascii="Arial" w:cs="Arial" w:eastAsia="Arial" w:hAnsi="Arial"/>
          <w:sz w:val="22"/>
          <w:szCs w:val="22"/>
        </w:rPr>
        <w:t xml:space="preserve">Restrict pod-to-pod traffic to the minimum required. In this deployment, only the NemoClaw sandbox can reach NIM on port 8000, and external traffic to the sandbox is limited to port 18789.</w:t>
      </w:r>
    </w:p>
    <w:p>
      <w:pPr>
        <w:spacing w:before="400"/>
      </w:pPr>
    </w:p>
    <w:p>
      <w:pPr>
        <w:pBdr>
          <w:top w:val="single" w:color="CCCCCC" w:sz="2" w:space="1"/>
        </w:pBdr>
        <w:spacing w:before="200"/>
        <w:jc w:val="center"/>
      </w:pPr>
      <w:r>
        <w:rPr>
          <w:rFonts w:ascii="Arial" w:cs="Arial" w:eastAsia="Arial" w:hAnsi="Arial"/>
          <w:color w:val="999999"/>
          <w:sz w:val="18"/>
          <w:szCs w:val="18"/>
        </w:rPr>
        <w:t xml:space="preserve">This guide is current as of March 2026 (NemoClaw alpha). </w:t>
      </w:r>
      <w:r>
        <w:rPr>
          <w:rFonts w:ascii="Arial" w:cs="Arial" w:eastAsia="Arial" w:hAnsi="Arial"/>
          <w:color w:val="0F7B6C"/>
          <w:sz w:val="18"/>
          <w:szCs w:val="18"/>
        </w:rPr>
        <w:t xml:space="preserve">Check github.com/geoffsdesk/nemokube for updates.</w:t>
      </w:r>
    </w:p>
    <w:p>
      <w:pPr>
        <w:spacing w:before="80"/>
        <w:jc w:val="center"/>
      </w:pPr>
      <w:r>
        <w:rPr>
          <w:rFonts w:ascii="Arial" w:cs="Arial" w:eastAsia="Arial" w:hAnsi="Arial"/>
          <w:i/>
          <w:iCs/>
          <w:color w:val="999999"/>
          <w:sz w:val="16"/>
          <w:szCs w:val="16"/>
        </w:rPr>
        <w:t xml:space="preserve">This is a personal project — not supported, endorsed, or affiliated with Google or NVIDIA.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Personal project — not Google or NVIDIA supported  |  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4" w:space="1"/>
      </w:pBdr>
      <w:spacing w:after="0"/>
    </w:pPr>
    <w:r>
      <w:rPr>
        <w:rFonts w:ascii="Arial" w:cs="Arial" w:eastAsia="Arial" w:hAnsi="Arial"/>
        <w:color w:val="888888"/>
        <w:sz w:val="16"/>
        <w:szCs w:val="16"/>
      </w:rPr>
      <w:t xml:space="preserve">Deploying NemoClaw on GKE  |  How-To Guide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2026-03-20T02:59:15.914Z</dcterms:created>
  <dcterms:modified xsi:type="dcterms:W3CDTF">2026-03-20T02:59:15.914Z</dcterms:modified>
</cp:coreProperties>
</file>

<file path=docProps/custom.xml><?xml version="1.0" encoding="utf-8"?>
<Properties xmlns="http://schemas.openxmlformats.org/officeDocument/2006/custom-properties" xmlns:vt="http://schemas.openxmlformats.org/officeDocument/2006/docPropsVTypes"/>
</file>