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left"/>
      </w:pPr>
      <w:r>
        <w:rPr>
          <w:rFonts w:ascii="Arial" w:cs="Arial" w:eastAsia="Arial" w:hAnsi="Arial"/>
          <w:color w:val="666666"/>
          <w:spacing w:val="200"/>
          <w:sz w:val="20"/>
          <w:szCs w:val="20"/>
        </w:rPr>
        <w:t xml:space="preserve">PRODUCT REQUIREMENTS DOCUMENT</w:t>
      </w:r>
    </w:p>
    <w:p>
      <w:pPr>
        <w:pBdr>
          <w:bottom w:val="single" w:color="76B900" w:sz="6" w:space="8"/>
        </w:pBdr>
        <w:spacing w:after="100"/>
        <w:jc w:val="left"/>
      </w:pPr>
      <w:r>
        <w:rPr>
          <w:rFonts w:ascii="Arial" w:cs="Arial" w:eastAsia="Arial" w:hAnsi="Arial"/>
          <w:b/>
          <w:bCs/>
          <w:color w:val="333333"/>
          <w:sz w:val="56"/>
          <w:szCs w:val="56"/>
        </w:rPr>
        <w:t xml:space="preserve">NemoKube v2</w:t>
      </w:r>
    </w:p>
    <w:p>
      <w:pPr>
        <w:spacing w:after="600"/>
        <w:jc w:val="left"/>
      </w:pPr>
      <w:r>
        <w:rPr>
          <w:rFonts w:ascii="Arial" w:cs="Arial" w:eastAsia="Arial" w:hAnsi="Arial"/>
          <w:color w:val="666666"/>
          <w:sz w:val="32"/>
          <w:szCs w:val="32"/>
        </w:rPr>
        <w:t xml:space="preserve">NemoClaw-Compliant Security on GKE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Author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Geoff (geoffsdesk)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April 8, 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 Development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Repo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github.com/geoffsdesk/nemokube</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333333"/>
          <w:sz w:val="32"/>
          <w:szCs w:val="32"/>
        </w:rPr>
        <w:t xml:space="preserve">1. Executive Summary</w:t>
      </w:r>
    </w:p>
    <w:p>
      <w:pPr>
        <w:spacing w:after="160"/>
      </w:pPr>
      <w:r>
        <w:rPr>
          <w:rFonts w:ascii="Arial" w:cs="Arial" w:eastAsia="Arial" w:hAnsi="Arial"/>
          <w:color w:val="333333"/>
          <w:sz w:val="22"/>
          <w:szCs w:val="22"/>
        </w:rPr>
        <w:t xml:space="preserve">NemoKube v1 deployed OpenClaw on GKE using the NemoClaw container image as a convenience base, but bypassed every security layer that makes NemoClaw "NemoClaw." The sandbox pod held the NVIDIA API key in its environment, ran without filesystem isolation, used no seccomp filtering, and talked directly to NIM with no credential separation.</w:t>
      </w:r>
    </w:p>
    <w:p>
      <w:pPr>
        <w:spacing w:after="160"/>
      </w:pPr>
      <w:r>
        <w:rPr>
          <w:rFonts w:ascii="Arial" w:cs="Arial" w:eastAsia="Arial" w:hAnsi="Arial"/>
          <w:color w:val="333333"/>
          <w:sz w:val="22"/>
          <w:szCs w:val="22"/>
        </w:rPr>
        <w:t xml:space="preserve">NemoKube v2 is a complete security rearchitecture that translates NemoClaw's five-layer OpenShell security model into Kubernetes-native primitives. The result is a deployment that actually earns the name "NemoClaw on GKE" rather than "bare OpenClaw with a NemoClaw base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The Problem (v1)</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The Solution (v2)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80"/>
            </w:pPr>
            <w:r>
              <w:rPr>
                <w:rFonts w:ascii="Arial" w:cs="Arial" w:eastAsia="Arial" w:hAnsi="Arial"/>
                <w:color w:val="333333"/>
                <w:sz w:val="22"/>
                <w:szCs w:val="22"/>
              </w:rPr>
              <w:t xml:space="preserve">NVIDIA API key inside sandbox pod</w:t>
            </w:r>
          </w:p>
          <w:p>
            <w:pPr>
              <w:pStyle w:val="ListParagraph"/>
              <w:numPr>
                <w:ilvl w:val="0"/>
                <w:numId w:val="2"/>
              </w:numPr>
              <w:spacing w:after="80"/>
            </w:pPr>
            <w:r>
              <w:rPr>
                <w:rFonts w:ascii="Arial" w:cs="Arial" w:eastAsia="Arial" w:hAnsi="Arial"/>
                <w:color w:val="333333"/>
                <w:sz w:val="22"/>
                <w:szCs w:val="22"/>
              </w:rPr>
              <w:t xml:space="preserve">No Landlock filesystem isolation</w:t>
            </w:r>
          </w:p>
          <w:p>
            <w:pPr>
              <w:pStyle w:val="ListParagraph"/>
              <w:numPr>
                <w:ilvl w:val="0"/>
                <w:numId w:val="2"/>
              </w:numPr>
              <w:spacing w:after="80"/>
            </w:pPr>
            <w:r>
              <w:rPr>
                <w:rFonts w:ascii="Arial" w:cs="Arial" w:eastAsia="Arial" w:hAnsi="Arial"/>
                <w:color w:val="333333"/>
                <w:sz w:val="22"/>
                <w:szCs w:val="22"/>
              </w:rPr>
              <w:t xml:space="preserve">No seccomp syscall filtering</w:t>
            </w:r>
          </w:p>
          <w:p>
            <w:pPr>
              <w:pStyle w:val="ListParagraph"/>
              <w:numPr>
                <w:ilvl w:val="0"/>
                <w:numId w:val="2"/>
              </w:numPr>
              <w:spacing w:after="80"/>
            </w:pPr>
            <w:r>
              <w:rPr>
                <w:rFonts w:ascii="Arial" w:cs="Arial" w:eastAsia="Arial" w:hAnsi="Arial"/>
                <w:color w:val="333333"/>
                <w:sz w:val="22"/>
                <w:szCs w:val="22"/>
              </w:rPr>
              <w:t xml:space="preserve">Direct sandbox-to-NIM communication</w:t>
            </w:r>
          </w:p>
          <w:p>
            <w:pPr>
              <w:pStyle w:val="ListParagraph"/>
              <w:numPr>
                <w:ilvl w:val="0"/>
                <w:numId w:val="2"/>
              </w:numPr>
              <w:spacing w:after="80"/>
            </w:pPr>
            <w:r>
              <w:rPr>
                <w:rFonts w:ascii="Arial" w:cs="Arial" w:eastAsia="Arial" w:hAnsi="Arial"/>
                <w:color w:val="333333"/>
                <w:sz w:val="22"/>
                <w:szCs w:val="22"/>
              </w:rPr>
              <w:t xml:space="preserve">No Pod Security Admission controls</w:t>
            </w:r>
          </w:p>
          <w:p>
            <w:pPr>
              <w:pStyle w:val="ListParagraph"/>
              <w:numPr>
                <w:ilvl w:val="0"/>
                <w:numId w:val="2"/>
              </w:numPr>
              <w:spacing w:after="80"/>
            </w:pPr>
            <w:r>
              <w:rPr>
                <w:rFonts w:ascii="Arial" w:cs="Arial" w:eastAsia="Arial" w:hAnsi="Arial"/>
                <w:color w:val="333333"/>
                <w:sz w:val="22"/>
                <w:szCs w:val="22"/>
              </w:rPr>
              <w:t xml:space="preserve">README claimed "NemoClaw" inaccurately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80"/>
            </w:pPr>
            <w:r>
              <w:rPr>
                <w:rFonts w:ascii="Arial" w:cs="Arial" w:eastAsia="Arial" w:hAnsi="Arial"/>
                <w:color w:val="333333"/>
                <w:sz w:val="22"/>
                <w:szCs w:val="22"/>
              </w:rPr>
              <w:t xml:space="preserve">Inference proxy holds credentials</w:t>
            </w:r>
          </w:p>
          <w:p>
            <w:pPr>
              <w:pStyle w:val="ListParagraph"/>
              <w:numPr>
                <w:ilvl w:val="0"/>
                <w:numId w:val="2"/>
              </w:numPr>
              <w:spacing w:after="80"/>
            </w:pPr>
            <w:r>
              <w:rPr>
                <w:rFonts w:ascii="Arial" w:cs="Arial" w:eastAsia="Arial" w:hAnsi="Arial"/>
                <w:color w:val="333333"/>
                <w:sz w:val="22"/>
                <w:szCs w:val="22"/>
              </w:rPr>
              <w:t xml:space="preserve">Landlock wrapper applies FS rules</w:t>
            </w:r>
          </w:p>
          <w:p>
            <w:pPr>
              <w:pStyle w:val="ListParagraph"/>
              <w:numPr>
                <w:ilvl w:val="0"/>
                <w:numId w:val="2"/>
              </w:numPr>
              <w:spacing w:after="80"/>
            </w:pPr>
            <w:r>
              <w:rPr>
                <w:rFonts w:ascii="Arial" w:cs="Arial" w:eastAsia="Arial" w:hAnsi="Arial"/>
                <w:color w:val="333333"/>
                <w:sz w:val="22"/>
                <w:szCs w:val="22"/>
              </w:rPr>
              <w:t xml:space="preserve">Custom seccomp profile on all nodes</w:t>
            </w:r>
          </w:p>
          <w:p>
            <w:pPr>
              <w:pStyle w:val="ListParagraph"/>
              <w:numPr>
                <w:ilvl w:val="0"/>
                <w:numId w:val="2"/>
              </w:numPr>
              <w:spacing w:after="80"/>
            </w:pPr>
            <w:r>
              <w:rPr>
                <w:rFonts w:ascii="Arial" w:cs="Arial" w:eastAsia="Arial" w:hAnsi="Arial"/>
                <w:color w:val="333333"/>
                <w:sz w:val="22"/>
                <w:szCs w:val="22"/>
              </w:rPr>
              <w:t xml:space="preserve">Three-tier routing: sandbox &gt; proxy &gt; NIM</w:t>
            </w:r>
          </w:p>
          <w:p>
            <w:pPr>
              <w:pStyle w:val="ListParagraph"/>
              <w:numPr>
                <w:ilvl w:val="0"/>
                <w:numId w:val="2"/>
              </w:numPr>
              <w:spacing w:after="80"/>
            </w:pPr>
            <w:r>
              <w:rPr>
                <w:rFonts w:ascii="Arial" w:cs="Arial" w:eastAsia="Arial" w:hAnsi="Arial"/>
                <w:color w:val="333333"/>
                <w:sz w:val="22"/>
                <w:szCs w:val="22"/>
              </w:rPr>
              <w:t xml:space="preserve">PSA enforce=baseline, warn=restricted</w:t>
            </w:r>
          </w:p>
          <w:p>
            <w:pPr>
              <w:pStyle w:val="ListParagraph"/>
              <w:numPr>
                <w:ilvl w:val="0"/>
                <w:numId w:val="2"/>
              </w:numPr>
              <w:spacing w:after="80"/>
            </w:pPr>
            <w:r>
              <w:rPr>
                <w:rFonts w:ascii="Arial" w:cs="Arial" w:eastAsia="Arial" w:hAnsi="Arial"/>
                <w:color w:val="333333"/>
                <w:sz w:val="22"/>
                <w:szCs w:val="22"/>
              </w:rPr>
              <w:t xml:space="preserve">Architecture matches NemoClaw's model</w:t>
            </w:r>
          </w:p>
        </w:tc>
      </w:tr>
    </w:tbl>
    <w:p>
      <w:pPr>
        <w:spacing w:after="200"/>
      </w:pPr>
    </w:p>
    <w:p>
      <w:pPr>
        <w:pStyle w:val="Heading1"/>
        <w:spacing w:after="200" w:before="300"/>
      </w:pPr>
      <w:r>
        <w:rPr>
          <w:rFonts w:ascii="Arial" w:cs="Arial" w:eastAsia="Arial" w:hAnsi="Arial"/>
          <w:b/>
          <w:bCs/>
          <w:color w:val="333333"/>
          <w:sz w:val="32"/>
          <w:szCs w:val="32"/>
        </w:rPr>
        <w:t xml:space="preserve">2. Background: What NemoClaw Actually Is</w:t>
      </w:r>
    </w:p>
    <w:p>
      <w:pPr>
        <w:spacing w:after="160"/>
      </w:pPr>
      <w:r>
        <w:rPr>
          <w:rFonts w:ascii="Arial" w:cs="Arial" w:eastAsia="Arial" w:hAnsi="Arial"/>
          <w:color w:val="333333"/>
          <w:sz w:val="22"/>
          <w:szCs w:val="22"/>
        </w:rPr>
        <w:t xml:space="preserve">NVIDIA NemoClaw (released GTC 2026, alpha) is not just OpenClaw in a container. It ships as two components: a TypeScript plugin for OpenClaw and a Python blueprint that orchestrates OpenShell resources. The official architecture has five distinct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6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How OpenShell Implements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Landlock FS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Restricts filesystem access per openclaw-sandbox.yaml: /usr, /lib, /etc read-only; /tmp, /sandbox/.openclaw-data read-write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Kernel Landlock syscalls (444-446) applied before agent starts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seccomp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Blocks dangerous syscalls while allowing Landlock, clone, execve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seccomp profile loaded by OpenShell runtime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Credential Isolation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 API keys never enter the sandbox container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OpenShell gateway sits outside sandbox, intercepts inference requests, injects credentials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Network Policies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Per-host, per-binary, per-path egress rules in openclaw-sandbox.yaml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Network namespace isolation with OpenShell policy enforcement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Blueprint Lifecycle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Version verification, digest checking, plan/apply/rollback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nemoclaw onboard runs blueprint.yaml through OpenShell CLI</w:t>
            </w:r>
          </w:p>
        </w:tc>
      </w:tr>
    </w:tbl>
    <w:p>
      <w:pPr>
        <w:spacing w:after="200"/>
      </w:pPr>
    </w:p>
    <w:p>
      <w:pPr>
        <w:spacing w:after="160"/>
      </w:pPr>
      <w:r>
        <w:rPr>
          <w:rFonts w:ascii="Arial" w:cs="Arial" w:eastAsia="Arial" w:hAnsi="Arial"/>
          <w:color w:val="333333"/>
          <w:sz w:val="22"/>
          <w:szCs w:val="22"/>
        </w:rPr>
        <w:t xml:space="preserve">NemoKube v1 used the NemoClaw container image but ran nemoclaw-start only for plugin bootstrapping, killed all spawned processes, overwrote the config, and ran openclaw gateway run directly. Zero of these five layers were active.</w:t>
      </w:r>
    </w:p>
    <w:p>
      <w:pPr>
        <w:pStyle w:val="Heading1"/>
        <w:spacing w:after="200" w:before="300"/>
      </w:pPr>
      <w:r>
        <w:rPr>
          <w:rFonts w:ascii="Arial" w:cs="Arial" w:eastAsia="Arial" w:hAnsi="Arial"/>
          <w:b/>
          <w:bCs/>
          <w:color w:val="333333"/>
          <w:sz w:val="32"/>
          <w:szCs w:val="32"/>
        </w:rPr>
        <w:t xml:space="preserve">3. NemoKube v2 Architecture</w:t>
      </w:r>
    </w:p>
    <w:p>
      <w:pPr>
        <w:spacing w:after="160"/>
      </w:pPr>
      <w:r>
        <w:rPr>
          <w:rFonts w:ascii="Arial" w:cs="Arial" w:eastAsia="Arial" w:hAnsi="Arial"/>
          <w:color w:val="333333"/>
          <w:sz w:val="22"/>
          <w:szCs w:val="22"/>
        </w:rPr>
        <w:t xml:space="preserve">The v2 architecture translates each NemoClaw security layer into the closest Kubernetes-native equivalent:</w:t>
      </w:r>
    </w:p>
    <w:p>
      <w:pPr>
        <w:pStyle w:val="Heading2"/>
        <w:spacing w:after="200" w:before="300"/>
      </w:pPr>
      <w:r>
        <w:rPr>
          <w:rFonts w:ascii="Arial" w:cs="Arial" w:eastAsia="Arial" w:hAnsi="Arial"/>
          <w:b/>
          <w:bCs/>
          <w:color w:val="333333"/>
          <w:sz w:val="28"/>
          <w:szCs w:val="28"/>
        </w:rPr>
        <w:t xml:space="preserve">3.1 Credential Isolation (Inference Proxy)</w:t>
      </w:r>
    </w:p>
    <w:p>
      <w:pPr>
        <w:spacing w:after="16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This is the single most important security change. </w:t>
      </w:r>
      <w:r>
        <w:rPr>
          <w:rFonts w:ascii="Arial" w:cs="Arial" w:eastAsia="Arial" w:hAnsi="Arial"/>
          <w:color w:val="DC2626"/>
          <w:sz w:val="22"/>
          <w:szCs w:val="22"/>
        </w:rPr>
        <w:t xml:space="preserve">In v1, the NVIDIA_API_KEY environment variable was present inside the sandbox pod</w:t>
      </w:r>
      <w:r>
        <w:rPr>
          <w:rFonts w:ascii="Arial" w:cs="Arial" w:eastAsia="Arial" w:hAnsi="Arial"/>
          <w:color w:val="333333"/>
          <w:sz w:val="22"/>
          <w:szCs w:val="22"/>
        </w:rPr>
        <w:t xml:space="preserve">. In v2, a dedicated inference proxy Deployment holds the key and injects it into requests. The sandbox pod's environment contains no API keys whatsoever.</w:t>
      </w:r>
    </w:p>
    <w:p>
      <w:pPr>
        <w:spacing w:after="160"/>
      </w:pPr>
      <w:r>
        <w:rPr>
          <w:rFonts w:ascii="Arial" w:cs="Arial" w:eastAsia="Arial" w:hAnsi="Arial"/>
          <w:color w:val="333333"/>
          <w:sz w:val="22"/>
          <w:szCs w:val="22"/>
        </w:rPr>
        <w:t xml:space="preserve">The proxy is a lightweight Node.js HTTP server (manifests/07-inference-proxy.yaml) that accepts unauthenticated requests from the sandbox, strips any Authorization header the sandbox might send, injects the real NVIDIA API key, and forwards to the NIM service. This matches OpenShell's model where the gateway sits outside the sandbox and credentials never enter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Sandbox Pod</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Proxy Pod</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NIM Pod (GPU)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60"/>
            </w:pPr>
            <w:r>
              <w:rPr>
                <w:rFonts w:ascii="Arial" w:cs="Arial" w:eastAsia="Arial" w:hAnsi="Arial"/>
                <w:color w:val="333333"/>
                <w:sz w:val="22"/>
                <w:szCs w:val="22"/>
              </w:rPr>
              <w:t xml:space="preserve">OpenClaw gateway</w:t>
            </w:r>
          </w:p>
          <w:p>
            <w:pPr>
              <w:spacing w:after="160"/>
            </w:pPr>
            <w:r>
              <w:rPr>
                <w:rFonts w:ascii="Arial" w:cs="Arial" w:eastAsia="Arial" w:hAnsi="Arial"/>
                <w:color w:val="333333"/>
                <w:sz w:val="22"/>
                <w:szCs w:val="22"/>
              </w:rPr>
              <w:t xml:space="preserve">No API keys in env</w:t>
            </w:r>
          </w:p>
          <w:p>
            <w:pPr>
              <w:spacing w:after="160"/>
            </w:pPr>
            <w:r>
              <w:rPr>
                <w:rFonts w:ascii="Arial" w:cs="Arial" w:eastAsia="Arial" w:hAnsi="Arial"/>
                <w:color w:val="333333"/>
                <w:sz w:val="22"/>
                <w:szCs w:val="22"/>
              </w:rPr>
              <w:t xml:space="preserve">Sends to proxy:8080</w:t>
            </w:r>
          </w:p>
          <w:p>
            <w:pPr>
              <w:spacing w:after="160"/>
            </w:pPr>
            <w:r>
              <w:rPr>
                <w:rFonts w:ascii="Arial" w:cs="Arial" w:eastAsia="Arial" w:hAnsi="Arial"/>
                <w:b/>
                <w:bCs/>
                <w:color w:val="333333"/>
                <w:sz w:val="20"/>
                <w:szCs w:val="20"/>
              </w:rPr>
              <w:t xml:space="preserve">apiKey: </w:t>
            </w:r>
            <w:r>
              <w:rPr>
                <w:rFonts w:ascii="Arial" w:cs="Arial" w:eastAsia="Arial" w:hAnsi="Arial"/>
                <w:i/>
                <w:iCs/>
                <w:color w:val="333333"/>
                <w:sz w:val="20"/>
                <w:szCs w:val="20"/>
              </w:rPr>
              <w:t xml:space="preserve">"proxy-injected"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60"/>
            </w:pPr>
            <w:r>
              <w:rPr>
                <w:rFonts w:ascii="Arial" w:cs="Arial" w:eastAsia="Arial" w:hAnsi="Arial"/>
                <w:color w:val="333333"/>
                <w:sz w:val="22"/>
                <w:szCs w:val="22"/>
              </w:rPr>
              <w:t xml:space="preserve">Node.js reverse proxy</w:t>
            </w:r>
          </w:p>
          <w:p>
            <w:pPr>
              <w:spacing w:after="160"/>
            </w:pPr>
            <w:r>
              <w:rPr>
                <w:rFonts w:ascii="Arial" w:cs="Arial" w:eastAsia="Arial" w:hAnsi="Arial"/>
                <w:color w:val="333333"/>
                <w:sz w:val="22"/>
                <w:szCs w:val="22"/>
              </w:rPr>
              <w:t xml:space="preserve">Holds NVIDIA_API_KEY</w:t>
            </w:r>
          </w:p>
          <w:p>
            <w:pPr>
              <w:spacing w:after="160"/>
            </w:pPr>
            <w:r>
              <w:rPr>
                <w:rFonts w:ascii="Arial" w:cs="Arial" w:eastAsia="Arial" w:hAnsi="Arial"/>
                <w:color w:val="333333"/>
                <w:sz w:val="22"/>
                <w:szCs w:val="22"/>
              </w:rPr>
              <w:t xml:space="preserve">Injects Authorization header</w:t>
            </w:r>
          </w:p>
          <w:p>
            <w:pPr>
              <w:spacing w:after="160"/>
            </w:pPr>
            <w:r>
              <w:rPr>
                <w:rFonts w:ascii="Arial" w:cs="Arial" w:eastAsia="Arial" w:hAnsi="Arial"/>
                <w:color w:val="333333"/>
                <w:sz w:val="22"/>
                <w:szCs w:val="22"/>
              </w:rPr>
              <w:t xml:space="preserve">Forwards to NIM:8000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60"/>
            </w:pPr>
            <w:r>
              <w:rPr>
                <w:rFonts w:ascii="Arial" w:cs="Arial" w:eastAsia="Arial" w:hAnsi="Arial"/>
                <w:color w:val="333333"/>
                <w:sz w:val="22"/>
                <w:szCs w:val="22"/>
              </w:rPr>
              <w:t xml:space="preserve">NVIDIA NIM</w:t>
            </w:r>
          </w:p>
          <w:p>
            <w:pPr>
              <w:spacing w:after="160"/>
            </w:pPr>
            <w:r>
              <w:rPr>
                <w:rFonts w:ascii="Arial" w:cs="Arial" w:eastAsia="Arial" w:hAnsi="Arial"/>
                <w:color w:val="333333"/>
                <w:sz w:val="22"/>
                <w:szCs w:val="22"/>
              </w:rPr>
              <w:t xml:space="preserve">Model inference on GPU</w:t>
            </w:r>
          </w:p>
          <w:p>
            <w:pPr>
              <w:spacing w:after="160"/>
            </w:pPr>
            <w:r>
              <w:rPr>
                <w:rFonts w:ascii="Arial" w:cs="Arial" w:eastAsia="Arial" w:hAnsi="Arial"/>
                <w:color w:val="333333"/>
                <w:sz w:val="22"/>
                <w:szCs w:val="22"/>
              </w:rPr>
              <w:t xml:space="preserve">Receives authenticated requests</w:t>
            </w:r>
          </w:p>
          <w:p>
            <w:pPr>
              <w:spacing w:after="160"/>
            </w:pPr>
            <w:r>
              <w:rPr>
                <w:rFonts w:ascii="Arial" w:cs="Arial" w:eastAsia="Arial" w:hAnsi="Arial"/>
                <w:color w:val="333333"/>
                <w:sz w:val="22"/>
                <w:szCs w:val="22"/>
              </w:rPr>
              <w:t xml:space="preserve">ClusterIP: port 8000</w:t>
            </w:r>
          </w:p>
        </w:tc>
      </w:tr>
    </w:tbl>
    <w:p>
      <w:pPr>
        <w:spacing w:after="200"/>
      </w:pPr>
    </w:p>
    <w:p>
      <w:pPr>
        <w:pStyle w:val="Heading2"/>
        <w:spacing w:after="200" w:before="300"/>
      </w:pPr>
      <w:r>
        <w:rPr>
          <w:rFonts w:ascii="Arial" w:cs="Arial" w:eastAsia="Arial" w:hAnsi="Arial"/>
          <w:b/>
          <w:bCs/>
          <w:color w:val="333333"/>
          <w:sz w:val="28"/>
          <w:szCs w:val="28"/>
        </w:rPr>
        <w:t xml:space="preserve">3.2 Landlock Filesystem Isolation</w:t>
      </w:r>
    </w:p>
    <w:p>
      <w:pPr>
        <w:spacing w:after="160"/>
      </w:pPr>
      <w:r>
        <w:rPr>
          <w:rFonts w:ascii="Arial" w:cs="Arial" w:eastAsia="Arial" w:hAnsi="Arial"/>
          <w:color w:val="333333"/>
          <w:sz w:val="22"/>
          <w:szCs w:val="22"/>
        </w:rPr>
        <w:t xml:space="preserve">NemoClaw's openclaw-sandbox.yaml defines strict filesystem rules. The v2 architecture replicates these using actual Landlock kernel syscalls, applied inside the container before OpenClaw starts.</w:t>
      </w:r>
    </w:p>
    <w:p>
      <w:pPr>
        <w:spacing w:after="160"/>
      </w:pPr>
      <w:r>
        <w:rPr>
          <w:rFonts w:ascii="Arial" w:cs="Arial" w:eastAsia="Arial" w:hAnsi="Arial"/>
          <w:color w:val="333333"/>
          <w:sz w:val="22"/>
          <w:szCs w:val="22"/>
        </w:rPr>
        <w:t xml:space="preserve">The implementation has two parts: a custom seccomp profile deployed to all GKE nodes via a DaemonSet (manifests/06-seccomp-installer.yaml) that extends RuntimeDefault with the three Landlock syscalls (444, 445, 446), and a Python wrapper script (scripts/landlock-wrapper.py) that calls landlock_create_ruleset, landlock_add_rule, and landlock_restrict_self with rules matching the official policy, then execs openclaw gateway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Read-Only Paths</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Read-Write Paths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80"/>
            </w:pPr>
            <w:r>
              <w:rPr>
                <w:rFonts w:ascii="Arial" w:cs="Arial" w:eastAsia="Arial" w:hAnsi="Arial"/>
                <w:color w:val="333333"/>
                <w:sz w:val="22"/>
                <w:szCs w:val="22"/>
              </w:rPr>
              <w:t xml:space="preserve">/usr</w:t>
            </w:r>
          </w:p>
          <w:p>
            <w:pPr>
              <w:pStyle w:val="ListParagraph"/>
              <w:numPr>
                <w:ilvl w:val="0"/>
                <w:numId w:val="2"/>
              </w:numPr>
              <w:spacing w:after="80"/>
            </w:pPr>
            <w:r>
              <w:rPr>
                <w:rFonts w:ascii="Arial" w:cs="Arial" w:eastAsia="Arial" w:hAnsi="Arial"/>
                <w:color w:val="333333"/>
                <w:sz w:val="22"/>
                <w:szCs w:val="22"/>
              </w:rPr>
              <w:t xml:space="preserve">/lib, /lib64</w:t>
            </w:r>
          </w:p>
          <w:p>
            <w:pPr>
              <w:pStyle w:val="ListParagraph"/>
              <w:numPr>
                <w:ilvl w:val="0"/>
                <w:numId w:val="2"/>
              </w:numPr>
              <w:spacing w:after="80"/>
            </w:pPr>
            <w:r>
              <w:rPr>
                <w:rFonts w:ascii="Arial" w:cs="Arial" w:eastAsia="Arial" w:hAnsi="Arial"/>
                <w:color w:val="333333"/>
                <w:sz w:val="22"/>
                <w:szCs w:val="22"/>
              </w:rPr>
              <w:t xml:space="preserve">/proc</w:t>
            </w:r>
          </w:p>
          <w:p>
            <w:pPr>
              <w:pStyle w:val="ListParagraph"/>
              <w:numPr>
                <w:ilvl w:val="0"/>
                <w:numId w:val="2"/>
              </w:numPr>
              <w:spacing w:after="80"/>
            </w:pPr>
            <w:r>
              <w:rPr>
                <w:rFonts w:ascii="Arial" w:cs="Arial" w:eastAsia="Arial" w:hAnsi="Arial"/>
                <w:color w:val="333333"/>
                <w:sz w:val="22"/>
                <w:szCs w:val="22"/>
              </w:rPr>
              <w:t xml:space="preserve">/dev/urandom</w:t>
            </w:r>
          </w:p>
          <w:p>
            <w:pPr>
              <w:pStyle w:val="ListParagraph"/>
              <w:numPr>
                <w:ilvl w:val="0"/>
                <w:numId w:val="2"/>
              </w:numPr>
              <w:spacing w:after="80"/>
            </w:pPr>
            <w:r>
              <w:rPr>
                <w:rFonts w:ascii="Arial" w:cs="Arial" w:eastAsia="Arial" w:hAnsi="Arial"/>
                <w:color w:val="333333"/>
                <w:sz w:val="22"/>
                <w:szCs w:val="22"/>
              </w:rPr>
              <w:t xml:space="preserve">/app</w:t>
            </w:r>
          </w:p>
          <w:p>
            <w:pPr>
              <w:pStyle w:val="ListParagraph"/>
              <w:numPr>
                <w:ilvl w:val="0"/>
                <w:numId w:val="2"/>
              </w:numPr>
              <w:spacing w:after="80"/>
            </w:pPr>
            <w:r>
              <w:rPr>
                <w:rFonts w:ascii="Arial" w:cs="Arial" w:eastAsia="Arial" w:hAnsi="Arial"/>
                <w:color w:val="333333"/>
                <w:sz w:val="22"/>
                <w:szCs w:val="22"/>
              </w:rPr>
              <w:t xml:space="preserve">/etc</w:t>
            </w:r>
          </w:p>
          <w:p>
            <w:pPr>
              <w:pStyle w:val="ListParagraph"/>
              <w:numPr>
                <w:ilvl w:val="0"/>
                <w:numId w:val="2"/>
              </w:numPr>
              <w:spacing w:after="80"/>
            </w:pPr>
            <w:r>
              <w:rPr>
                <w:rFonts w:ascii="Arial" w:cs="Arial" w:eastAsia="Arial" w:hAnsi="Arial"/>
                <w:color w:val="333333"/>
                <w:sz w:val="22"/>
                <w:szCs w:val="22"/>
              </w:rPr>
              <w:t xml:space="preserve">/var/log</w:t>
            </w:r>
          </w:p>
          <w:p>
            <w:pPr>
              <w:pStyle w:val="ListParagraph"/>
              <w:numPr>
                <w:ilvl w:val="0"/>
                <w:numId w:val="2"/>
              </w:numPr>
              <w:spacing w:after="80"/>
            </w:pPr>
            <w:r>
              <w:rPr>
                <w:rFonts w:ascii="Arial" w:cs="Arial" w:eastAsia="Arial" w:hAnsi="Arial"/>
                <w:color w:val="333333"/>
                <w:sz w:val="22"/>
                <w:szCs w:val="22"/>
              </w:rPr>
              <w:t xml:space="preserve">/sandbox</w:t>
            </w:r>
          </w:p>
          <w:p>
            <w:pPr>
              <w:pStyle w:val="ListParagraph"/>
              <w:numPr>
                <w:ilvl w:val="0"/>
                <w:numId w:val="2"/>
              </w:numPr>
              <w:spacing w:after="80"/>
            </w:pPr>
            <w:r>
              <w:rPr>
                <w:rFonts w:ascii="Arial" w:cs="Arial" w:eastAsia="Arial" w:hAnsi="Arial"/>
                <w:color w:val="333333"/>
                <w:sz w:val="22"/>
                <w:szCs w:val="22"/>
              </w:rPr>
              <w:t xml:space="preserve">/sandbox/.openclaw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80"/>
            </w:pPr>
            <w:r>
              <w:rPr>
                <w:rFonts w:ascii="Arial" w:cs="Arial" w:eastAsia="Arial" w:hAnsi="Arial"/>
                <w:color w:val="333333"/>
                <w:sz w:val="22"/>
                <w:szCs w:val="22"/>
              </w:rPr>
              <w:t xml:space="preserve">/tmp</w:t>
            </w:r>
          </w:p>
          <w:p>
            <w:pPr>
              <w:pStyle w:val="ListParagraph"/>
              <w:numPr>
                <w:ilvl w:val="0"/>
                <w:numId w:val="2"/>
              </w:numPr>
              <w:spacing w:after="80"/>
            </w:pPr>
            <w:r>
              <w:rPr>
                <w:rFonts w:ascii="Arial" w:cs="Arial" w:eastAsia="Arial" w:hAnsi="Arial"/>
                <w:color w:val="333333"/>
                <w:sz w:val="22"/>
                <w:szCs w:val="22"/>
              </w:rPr>
              <w:t xml:space="preserve">/dev/null</w:t>
            </w:r>
          </w:p>
          <w:p>
            <w:pPr>
              <w:pStyle w:val="ListParagraph"/>
              <w:numPr>
                <w:ilvl w:val="0"/>
                <w:numId w:val="2"/>
              </w:numPr>
              <w:spacing w:after="80"/>
            </w:pPr>
            <w:r>
              <w:rPr>
                <w:rFonts w:ascii="Arial" w:cs="Arial" w:eastAsia="Arial" w:hAnsi="Arial"/>
                <w:color w:val="333333"/>
                <w:sz w:val="22"/>
                <w:szCs w:val="22"/>
              </w:rPr>
              <w:t xml:space="preserve">/sandbox/.openclaw-data</w:t>
            </w:r>
          </w:p>
          <w:p>
            <w:pPr>
              <w:pStyle w:val="ListParagraph"/>
              <w:numPr>
                <w:ilvl w:val="0"/>
                <w:numId w:val="2"/>
              </w:numPr>
              <w:spacing w:after="80"/>
            </w:pPr>
            <w:r>
              <w:rPr>
                <w:rFonts w:ascii="Arial" w:cs="Arial" w:eastAsia="Arial" w:hAnsi="Arial"/>
                <w:color w:val="333333"/>
                <w:sz w:val="22"/>
                <w:szCs w:val="22"/>
              </w:rPr>
              <w:t xml:space="preserve">/sandbox/.nemoclaw</w:t>
            </w:r>
          </w:p>
        </w:tc>
      </w:tr>
    </w:tbl>
    <w:p>
      <w:pPr>
        <w:spacing w:after="200"/>
      </w:pPr>
    </w:p>
    <w:p>
      <w:pPr>
        <w:spacing w:after="160"/>
      </w:pPr>
      <w:r>
        <w:rPr>
          <w:rFonts w:ascii="Arial" w:cs="Arial" w:eastAsia="Arial" w:hAnsi="Arial"/>
          <w:color w:val="333333"/>
          <w:sz w:val="22"/>
          <w:szCs w:val="22"/>
        </w:rPr>
        <w:t xml:space="preserve">GKE Container-Optimized OS runs kernel 5.15+ which supports Landlock. If Landlock is unavailable (seccomp blocks it or kernel lacks support), the wrapper logs a warning and falls back to running without it, ensuring the deployment doesn't hard-fail.</w:t>
      </w:r>
    </w:p>
    <w:p>
      <w:pPr>
        <w:pStyle w:val="Heading2"/>
        <w:spacing w:after="200" w:before="300"/>
      </w:pPr>
      <w:r>
        <w:rPr>
          <w:rFonts w:ascii="Arial" w:cs="Arial" w:eastAsia="Arial" w:hAnsi="Arial"/>
          <w:b/>
          <w:bCs/>
          <w:color w:val="333333"/>
          <w:sz w:val="28"/>
          <w:szCs w:val="28"/>
        </w:rPr>
        <w:t xml:space="preserve">3.3 seccomp Syscall Filtering</w:t>
      </w:r>
    </w:p>
    <w:p>
      <w:pPr>
        <w:spacing w:after="160"/>
      </w:pPr>
      <w:r>
        <w:rPr>
          <w:rFonts w:ascii="Arial" w:cs="Arial" w:eastAsia="Arial" w:hAnsi="Arial"/>
          <w:color w:val="333333"/>
          <w:sz w:val="22"/>
          <w:szCs w:val="22"/>
        </w:rPr>
        <w:t xml:space="preserve">The custom seccomp profile (nemokube-sandbox.json) is deployed to /var/lib/kubelet/seccomp/profiles/ on every node via a DaemonSet in kube-system. It uses a default-deny (SCMP_ACT_ERRNO) policy with an explicit allowlist matching the Docker RuntimeDefault plus the three Landlock syscalls. The sandbox pod references this profile via seccompProfile.type: Localhost.</w:t>
      </w:r>
    </w:p>
    <w:p>
      <w:pPr>
        <w:spacing w:after="160"/>
      </w:pPr>
      <w:r>
        <w:rPr>
          <w:rFonts w:ascii="Arial" w:cs="Arial" w:eastAsia="Arial" w:hAnsi="Arial"/>
          <w:color w:val="333333"/>
          <w:sz w:val="22"/>
          <w:szCs w:val="22"/>
        </w:rPr>
        <w:t xml:space="preserve">The DaemonSet uses an init container to write the profile, then a sleep-infinity container to keep the DaemonSet running (ensuring the profile survives node restarts). It tolerates all taints so it runs on GPU nodes too.</w:t>
      </w:r>
    </w:p>
    <w:p>
      <w:pPr>
        <w:pStyle w:val="Heading2"/>
        <w:spacing w:after="200" w:before="300"/>
      </w:pPr>
      <w:r>
        <w:rPr>
          <w:rFonts w:ascii="Arial" w:cs="Arial" w:eastAsia="Arial" w:hAnsi="Arial"/>
          <w:b/>
          <w:bCs/>
          <w:color w:val="333333"/>
          <w:sz w:val="28"/>
          <w:szCs w:val="28"/>
        </w:rPr>
        <w:t xml:space="preserve">3.4 Pod Security Hardening</w:t>
      </w:r>
    </w:p>
    <w:p>
      <w:pPr>
        <w:spacing w:after="160"/>
      </w:pPr>
      <w:r>
        <w:rPr>
          <w:rFonts w:ascii="Arial" w:cs="Arial" w:eastAsia="Arial" w:hAnsi="Arial"/>
          <w:color w:val="333333"/>
          <w:sz w:val="22"/>
          <w:szCs w:val="22"/>
        </w:rPr>
        <w:t xml:space="preserve">The sandbox pod's SecurityContext is locked down to match NemoClaw's process isolation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58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and Rationale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runAsNonRoot: true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Matches openclaw-sandbox.yaml process.run_as_user: sandbox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runAsUser/Group: 1000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sandbox user in the NemoClaw container image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capabilities: drop ALL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Linux capabilities needed for OpenClaw agent operation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allowPrivilegeEscalation: false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Prevents setuid/setgid escalation inside the container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seccompProfile: Localhost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profile with Landlock syscalls and default-deny base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PSA: baseline enforce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Namespace-level enforcement prevents privileged pods, host networking</w:t>
            </w:r>
          </w:p>
        </w:tc>
      </w:tr>
    </w:tbl>
    <w:p>
      <w:pPr>
        <w:spacing w:after="200"/>
      </w:pPr>
    </w:p>
    <w:p>
      <w:pPr>
        <w:pStyle w:val="Heading2"/>
        <w:spacing w:after="200" w:before="300"/>
      </w:pPr>
      <w:r>
        <w:rPr>
          <w:rFonts w:ascii="Arial" w:cs="Arial" w:eastAsia="Arial" w:hAnsi="Arial"/>
          <w:b/>
          <w:bCs/>
          <w:color w:val="333333"/>
          <w:sz w:val="28"/>
          <w:szCs w:val="28"/>
        </w:rPr>
        <w:t xml:space="preserve">3.5 Network Isolation</w:t>
      </w:r>
    </w:p>
    <w:p>
      <w:pPr>
        <w:spacing w:after="160"/>
      </w:pPr>
      <w:r>
        <w:rPr>
          <w:rFonts w:ascii="Arial" w:cs="Arial" w:eastAsia="Arial" w:hAnsi="Arial"/>
          <w:color w:val="333333"/>
          <w:sz w:val="22"/>
          <w:szCs w:val="22"/>
        </w:rPr>
        <w:t xml:space="preserve">The NetworkPolicy set translates openclaw-sandbox.yaml's network rules into K8s-native equivalents. The key change from v1: the sandbox can no longer talk to NIM directly. All inference traffic routes through the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w:t>
            </w:r>
          </w:p>
        </w:tc>
        <w:tc>
          <w:tcPr>
            <w:tcW w:type="dxa" w:w="343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Ingress</w:t>
            </w:r>
          </w:p>
        </w:tc>
        <w:tc>
          <w:tcPr>
            <w:tcW w:type="dxa" w:w="343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Egress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NIM Pod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from inference-proxy (port 8000)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DNS + HTTPS (NGC model downloads)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Inference Proxy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from sandbox (port 8080)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DNS + NIM (port 8000)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Sandbox</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(port 18789) from cluster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DNS + proxy (8080) + HTTPS (443)</w:t>
            </w:r>
          </w:p>
        </w:tc>
      </w:tr>
    </w:tbl>
    <w:p>
      <w:pPr>
        <w:spacing w:after="160"/>
      </w:pPr>
    </w:p>
    <w:p>
      <w:pPr>
        <w:spacing w:after="160"/>
      </w:pPr>
      <w:r>
        <w:rPr>
          <w:rFonts w:ascii="Arial" w:cs="Arial" w:eastAsia="Arial" w:hAnsi="Arial"/>
          <w:b/>
          <w:bCs/>
          <w:color w:val="333333"/>
          <w:sz w:val="22"/>
          <w:szCs w:val="22"/>
        </w:rPr>
        <w:t xml:space="preserve">Limitation: </w:t>
      </w:r>
      <w:r>
        <w:rPr>
          <w:rFonts w:ascii="Arial" w:cs="Arial" w:eastAsia="Arial" w:hAnsi="Arial"/>
          <w:color w:val="333333"/>
          <w:sz w:val="22"/>
          <w:szCs w:val="22"/>
        </w:rPr>
        <w:t xml:space="preserve">K8s NetworkPolicy operates at IP+port level, not FQDN. The official openclaw-sandbox.yaml specifies per-host rules (e.g., only api.anthropic.com on POST /v1/messages). For full FQDN parity, deploy Cilium and use CiliumNetworkPolicy with DNS-based rules.</w:t>
      </w:r>
    </w:p>
    <w:p>
      <w:r>
        <w:br w:type="page"/>
      </w:r>
    </w:p>
    <w:p>
      <w:pPr>
        <w:pStyle w:val="Heading1"/>
        <w:spacing w:after="200" w:before="300"/>
      </w:pPr>
      <w:r>
        <w:rPr>
          <w:rFonts w:ascii="Arial" w:cs="Arial" w:eastAsia="Arial" w:hAnsi="Arial"/>
          <w:b/>
          <w:bCs/>
          <w:color w:val="333333"/>
          <w:sz w:val="32"/>
          <w:szCs w:val="32"/>
        </w:rPr>
        <w:t xml:space="preserve">4. Security Parity: NemoClaw vs NemoKube v2</w:t>
      </w:r>
    </w:p>
    <w:p>
      <w:pPr>
        <w:spacing w:after="160"/>
      </w:pPr>
      <w:r>
        <w:rPr>
          <w:rFonts w:ascii="Arial" w:cs="Arial" w:eastAsia="Arial" w:hAnsi="Arial"/>
          <w:color w:val="333333"/>
          <w:sz w:val="22"/>
          <w:szCs w:val="22"/>
        </w:rPr>
        <w:t xml:space="preserve">This matrix shows how closely NemoKube v2 matches the official NemoClaw security model. The goal is not 1:1 parity (OpenShell is a host-level runtime; K8s is a different execution model) but functional equivalence of each security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960"/>
        <w:gridCol w:w="1000"/>
      </w:tblGrid>
      <w:tr>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NemoClaw (Official)</w:t>
            </w:r>
          </w:p>
        </w:tc>
        <w:tc>
          <w:tcPr>
            <w:tcW w:type="dxa" w:w="2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NemoKube v2</w:t>
            </w:r>
          </w:p>
        </w:tc>
        <w:tc>
          <w:tcPr>
            <w:tcW w:type="dxa" w:w="9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Parity</w:t>
            </w:r>
          </w:p>
        </w:tc>
        <w:tc>
          <w:tcPr>
            <w:tcW w:type="dxa" w:w="1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Landlock FS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Kernel Landlock via OpenShell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Python wrapper + custom seccomp profile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~90%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 ~90%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seccomp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OpenShell-managed 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DaemonSet-deployed Localhost profile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~95%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 ~95%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Credentials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Gateway outside sandbox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Inference proxy pod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~95%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 ~95%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Network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Per-host/binary/path rules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K8s NetworkPolicy (IP+port only)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 ~85%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sandbox user, no caps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runAsNonRoot, drop ALL, PSA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~90%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 ~90%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Blueprint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Digest verification + lifecycle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Init container bootstraps plugins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 ~60%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OpenShell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Host-side container 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present (K8s-native)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 N/A </w:t>
            </w:r>
          </w:p>
        </w:tc>
      </w:tr>
    </w:tbl>
    <w:p>
      <w:pPr>
        <w:spacing w:after="200"/>
      </w:pPr>
    </w:p>
    <w:p>
      <w:pPr>
        <w:pStyle w:val="Heading1"/>
        <w:spacing w:after="200" w:before="300"/>
      </w:pPr>
      <w:r>
        <w:rPr>
          <w:rFonts w:ascii="Arial" w:cs="Arial" w:eastAsia="Arial" w:hAnsi="Arial"/>
          <w:b/>
          <w:bCs/>
          <w:color w:val="333333"/>
          <w:sz w:val="32"/>
          <w:szCs w:val="32"/>
        </w:rPr>
        <w:t xml:space="preserve">5. Changes Manifest</w:t>
      </w:r>
    </w:p>
    <w:p>
      <w:pPr>
        <w:pStyle w:val="Heading2"/>
        <w:spacing w:after="200" w:before="300"/>
      </w:pPr>
      <w:r>
        <w:rPr>
          <w:rFonts w:ascii="Arial" w:cs="Arial" w:eastAsia="Arial" w:hAnsi="Arial"/>
          <w:b/>
          <w:bCs/>
          <w:color w:val="333333"/>
          <w:sz w:val="28"/>
          <w:szCs w:val="28"/>
        </w:rPr>
        <w:t xml:space="preserve">5.1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manifests/06-seccomp-installer.yaml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DaemonSet that deploys the custom seccomp profile to /var/lib/kubelet/seccomp/profiles/ on all nodes. Extends RuntimeDefault with Landlock syscalls 444-446.</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manifests/07-inference-proxy.yaml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Inference proxy Deployment + Service. Holds NVIDIA_API_KEY, injects into requests to NIM. The credential isolation boundary.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scripts/landlock-wrapper.py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script calling Landlock syscalls via ctypes. Applies filesystem rules matching openclaw-sandbox.yaml, then execs the target command.</w:t>
            </w:r>
          </w:p>
        </w:tc>
      </w:tr>
    </w:tbl>
    <w:p>
      <w:pPr>
        <w:spacing w:after="200"/>
      </w:pPr>
    </w:p>
    <w:p>
      <w:pPr>
        <w:pStyle w:val="Heading2"/>
        <w:spacing w:after="200" w:before="300"/>
      </w:pPr>
      <w:r>
        <w:rPr>
          <w:rFonts w:ascii="Arial" w:cs="Arial" w:eastAsia="Arial" w:hAnsi="Arial"/>
          <w:b/>
          <w:bCs/>
          <w:color w:val="333333"/>
          <w:sz w:val="28"/>
          <w:szCs w:val="28"/>
        </w:rPr>
        <w:t xml:space="preserve">5.2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Changed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manifests/00-namespace.yaml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 PSA labels: enforce baseline, warn/audit restricted. Prevents privileged pods.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manifests/04-nemoclaw-deployment.yaml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rewrite. Custom seccomp, Landlock wrapper, no NVIDIA_API_KEY, runAsNonRoot, drop ALL caps, inference points at proxy not NIM.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manifests/05-networkpolicy.yaml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Three-tier isolation: sandbox&gt;proxy&gt;NIM. Added inference-proxy and nim-egress policies.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deploy.sh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 steps (was 14). Added seccomp installer, Landlock wrapper CM, inference proxy deployment. Security verification at end.</w:t>
            </w:r>
          </w:p>
        </w:tc>
      </w:tr>
    </w:tbl>
    <w:p>
      <w:pPr>
        <w:spacing w:after="200"/>
      </w:pPr>
    </w:p>
    <w:p>
      <w:pPr>
        <w:pStyle w:val="Heading1"/>
        <w:spacing w:after="200" w:before="300"/>
      </w:pPr>
      <w:r>
        <w:rPr>
          <w:rFonts w:ascii="Arial" w:cs="Arial" w:eastAsia="Arial" w:hAnsi="Arial"/>
          <w:b/>
          <w:bCs/>
          <w:color w:val="333333"/>
          <w:sz w:val="32"/>
          <w:szCs w:val="32"/>
        </w:rPr>
        <w:t xml:space="preserve">6. Prerequisites</w:t>
      </w:r>
    </w:p>
    <w:p>
      <w:pPr>
        <w:spacing w:after="160"/>
      </w:pPr>
      <w:r>
        <w:rPr>
          <w:rFonts w:ascii="Arial" w:cs="Arial" w:eastAsia="Arial" w:hAnsi="Arial"/>
          <w:color w:val="333333"/>
          <w:sz w:val="22"/>
          <w:szCs w:val="22"/>
        </w:rPr>
        <w:t xml:space="preserve">NemoKube v2 requires cluster-admin access for two operations that v1 did not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43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43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Pod Security Admission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Relax PSA to baseline for the nemokube namespace (default is restricted on some GKE configs)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Namespace label: pod-security.kubernetes.io/enforce: baseline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Custom seccomp profile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Allow Landlock syscalls (444-446) which RuntimeDefault blocks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DaemonSet writes profile to /var/lib/kubelet/seccomp/profiles/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Container-Optimized OS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Kernel 5.15+ required for Landlock support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GKE default (COS). Verify: uname -r on nodes shows 5.15+</w:t>
            </w:r>
          </w:p>
        </w:tc>
      </w:tr>
    </w:tbl>
    <w:p>
      <w:pPr>
        <w:spacing w:after="200"/>
      </w:pPr>
    </w:p>
    <w:p>
      <w:pPr>
        <w:pStyle w:val="Heading1"/>
        <w:spacing w:after="200" w:before="300"/>
      </w:pPr>
      <w:r>
        <w:rPr>
          <w:rFonts w:ascii="Arial" w:cs="Arial" w:eastAsia="Arial" w:hAnsi="Arial"/>
          <w:b/>
          <w:bCs/>
          <w:color w:val="333333"/>
          <w:sz w:val="32"/>
          <w:szCs w:val="32"/>
        </w:rPr>
        <w:t xml:space="preserve">7. Remaining Gaps and Future Work</w:t>
      </w:r>
    </w:p>
    <w:p>
      <w:pPr>
        <w:pStyle w:val="Heading2"/>
        <w:spacing w:after="200" w:before="300"/>
      </w:pPr>
      <w:r>
        <w:rPr>
          <w:rFonts w:ascii="Arial" w:cs="Arial" w:eastAsia="Arial" w:hAnsi="Arial"/>
          <w:b/>
          <w:bCs/>
          <w:color w:val="333333"/>
          <w:sz w:val="28"/>
          <w:szCs w:val="28"/>
        </w:rPr>
        <w:t xml:space="preserve">7.1 FQDN-Based Network Filtering</w:t>
      </w:r>
    </w:p>
    <w:p>
      <w:pPr>
        <w:spacing w:after="160"/>
      </w:pPr>
      <w:r>
        <w:rPr>
          <w:rFonts w:ascii="Arial" w:cs="Arial" w:eastAsia="Arial" w:hAnsi="Arial"/>
          <w:color w:val="333333"/>
          <w:sz w:val="22"/>
          <w:szCs w:val="22"/>
        </w:rPr>
        <w:t xml:space="preserve">The official openclaw-sandbox.yaml specifies per-host rules (only api.anthropic.com on POST /v1/messages, only registry.npmjs.org on GET, etc.). K8s NetworkPolicy operates at IP+port level only. To close this gap, deploy Cilium as the CNI and use CiliumNetworkPolicy with DNS-based FQDN rules. This is the largest remaining security gap.</w:t>
      </w:r>
    </w:p>
    <w:p>
      <w:pPr>
        <w:pStyle w:val="Heading2"/>
        <w:spacing w:after="200" w:before="300"/>
      </w:pPr>
      <w:r>
        <w:rPr>
          <w:rFonts w:ascii="Arial" w:cs="Arial" w:eastAsia="Arial" w:hAnsi="Arial"/>
          <w:b/>
          <w:bCs/>
          <w:color w:val="333333"/>
          <w:sz w:val="28"/>
          <w:szCs w:val="28"/>
        </w:rPr>
        <w:t xml:space="preserve">7.2 Per-Binary Network Rules</w:t>
      </w:r>
    </w:p>
    <w:p>
      <w:pPr>
        <w:spacing w:after="160"/>
      </w:pPr>
      <w:r>
        <w:rPr>
          <w:rFonts w:ascii="Arial" w:cs="Arial" w:eastAsia="Arial" w:hAnsi="Arial"/>
          <w:color w:val="333333"/>
          <w:sz w:val="22"/>
          <w:szCs w:val="22"/>
        </w:rPr>
        <w:t xml:space="preserve">OpenShell restricts which binaries can talk to which endpoints (e.g., only /usr/bin/git can reach github.com). There is no K8s equivalent for per-binary network filtering. This would require eBPF-based enforcement inside the container, which is outside the scope of v2.</w:t>
      </w:r>
    </w:p>
    <w:p>
      <w:pPr>
        <w:pStyle w:val="Heading2"/>
        <w:spacing w:after="200" w:before="300"/>
      </w:pPr>
      <w:r>
        <w:rPr>
          <w:rFonts w:ascii="Arial" w:cs="Arial" w:eastAsia="Arial" w:hAnsi="Arial"/>
          <w:b/>
          <w:bCs/>
          <w:color w:val="333333"/>
          <w:sz w:val="28"/>
          <w:szCs w:val="28"/>
        </w:rPr>
        <w:t xml:space="preserve">7.3 Blueprint Digest Verification</w:t>
      </w:r>
    </w:p>
    <w:p>
      <w:pPr>
        <w:spacing w:after="160"/>
      </w:pPr>
      <w:r>
        <w:rPr>
          <w:rFonts w:ascii="Arial" w:cs="Arial" w:eastAsia="Arial" w:hAnsi="Arial"/>
          <w:color w:val="333333"/>
          <w:sz w:val="22"/>
          <w:szCs w:val="22"/>
        </w:rPr>
        <w:t xml:space="preserve">NemoClaw verifies artifact digests before executing the blueprint. The v2 init container runs nemoclaw-start for plugin bootstrapping but does not verify digests. A future version could add a verification init container that checks the NemoClaw plugin hash against a known-good value.</w:t>
      </w:r>
    </w:p>
    <w:p>
      <w:pPr>
        <w:pStyle w:val="Heading2"/>
        <w:spacing w:after="200" w:before="300"/>
      </w:pPr>
      <w:r>
        <w:rPr>
          <w:rFonts w:ascii="Arial" w:cs="Arial" w:eastAsia="Arial" w:hAnsi="Arial"/>
          <w:b/>
          <w:bCs/>
          <w:color w:val="333333"/>
          <w:sz w:val="28"/>
          <w:szCs w:val="28"/>
        </w:rPr>
        <w:t xml:space="preserve">7.4 Hot Policy Updates</w:t>
      </w:r>
    </w:p>
    <w:p>
      <w:pPr>
        <w:spacing w:after="160"/>
      </w:pPr>
      <w:r>
        <w:rPr>
          <w:rFonts w:ascii="Arial" w:cs="Arial" w:eastAsia="Arial" w:hAnsi="Arial"/>
          <w:color w:val="333333"/>
          <w:sz w:val="22"/>
          <w:szCs w:val="22"/>
        </w:rPr>
        <w:t xml:space="preserve">NemoClaw supports openshell policy set for live policy changes. The K8s approach requires redeploying manifests via kubectl apply. This is standard for K8s operations and not a significant gap in practice.</w:t>
      </w:r>
    </w:p>
    <w:p>
      <w:r>
        <w:br w:type="page"/>
      </w:r>
    </w:p>
    <w:p>
      <w:pPr>
        <w:pStyle w:val="Heading1"/>
        <w:spacing w:after="200" w:before="300"/>
      </w:pPr>
      <w:r>
        <w:rPr>
          <w:rFonts w:ascii="Arial" w:cs="Arial" w:eastAsia="Arial" w:hAnsi="Arial"/>
          <w:b/>
          <w:bCs/>
          <w:color w:val="333333"/>
          <w:sz w:val="32"/>
          <w:szCs w:val="32"/>
        </w:rPr>
        <w:t xml:space="preserve">8. Why This Is Now "NemoClaw on GKE"</w:t>
      </w:r>
    </w:p>
    <w:p>
      <w:pPr>
        <w:spacing w:after="160"/>
      </w:pPr>
      <w:r>
        <w:rPr>
          <w:rFonts w:ascii="Arial" w:cs="Arial" w:eastAsia="Arial" w:hAnsi="Arial"/>
          <w:color w:val="333333"/>
          <w:sz w:val="22"/>
          <w:szCs w:val="22"/>
        </w:rPr>
        <w:t xml:space="preserve">The core question this PRD addresses: when can a project legitimately claim to run NemoClaw rather than bare OpenClaw?</w:t>
      </w:r>
    </w:p>
    <w:p>
      <w:pPr>
        <w:spacing w:after="160"/>
      </w:pPr>
      <w:r>
        <w:rPr>
          <w:rFonts w:ascii="Arial" w:cs="Arial" w:eastAsia="Arial" w:hAnsi="Arial"/>
          <w:color w:val="333333"/>
          <w:sz w:val="22"/>
          <w:szCs w:val="22"/>
        </w:rPr>
        <w:t xml:space="preserve">NemoClaw is not defined by its container image. It is defined by its security model. The official NemoClaw architecture document describes five security layers, and the value proposition is that these layers work together to create a defense-in-depth boundary around the AI agent.</w:t>
      </w:r>
    </w:p>
    <w:p>
      <w:pPr>
        <w:spacing w:after="160"/>
      </w:pPr>
      <w:r>
        <w:rPr>
          <w:rFonts w:ascii="Arial" w:cs="Arial" w:eastAsia="Arial" w:hAnsi="Arial"/>
          <w:color w:val="333333"/>
          <w:sz w:val="22"/>
          <w:szCs w:val="22"/>
        </w:rPr>
        <w:t xml:space="preserve">NemoKube v1 had zero of these layers active. The sandbox held API keys, had unrestricted filesystem access, no syscall filtering, and direct network access to inference. It was OpenClaw in a NemoClaw-labeled container.</w:t>
      </w:r>
    </w:p>
    <w:p>
      <w:pPr>
        <w:spacing w:after="160"/>
      </w:pPr>
      <w:r>
        <w:rPr>
          <w:rFonts w:ascii="Arial" w:cs="Arial" w:eastAsia="Arial" w:hAnsi="Arial"/>
          <w:color w:val="333333"/>
          <w:sz w:val="22"/>
          <w:szCs w:val="22"/>
        </w:rPr>
        <w:t xml:space="preserve">NemoKube v2 implements the functional equivalent of four of the five layers using Kubernetes-native primitives:</w:t>
      </w:r>
    </w:p>
    <w:p>
      <w:pPr>
        <w:pStyle w:val="ListParagraph"/>
        <w:numPr>
          <w:ilvl w:val="0"/>
          <w:numId w:val="2"/>
        </w:numPr>
        <w:spacing w:after="80"/>
      </w:pPr>
      <w:r>
        <w:rPr>
          <w:rFonts w:ascii="Arial" w:cs="Arial" w:eastAsia="Arial" w:hAnsi="Arial"/>
          <w:color w:val="333333"/>
          <w:sz w:val="22"/>
          <w:szCs w:val="22"/>
        </w:rPr>
        <w:t xml:space="preserve">Landlock filesystem isolation is applied by the same kernel mechanism NemoClaw uses, with the same path rules from openclaw-sandbox.yaml</w:t>
      </w:r>
    </w:p>
    <w:p>
      <w:pPr>
        <w:pStyle w:val="ListParagraph"/>
        <w:numPr>
          <w:ilvl w:val="0"/>
          <w:numId w:val="2"/>
        </w:numPr>
        <w:spacing w:after="80"/>
      </w:pPr>
      <w:r>
        <w:rPr>
          <w:rFonts w:ascii="Arial" w:cs="Arial" w:eastAsia="Arial" w:hAnsi="Arial"/>
          <w:color w:val="333333"/>
          <w:sz w:val="22"/>
          <w:szCs w:val="22"/>
        </w:rPr>
        <w:t xml:space="preserve">seccomp filtering uses a custom profile deployed to nodes, restricting the same syscall surface</w:t>
      </w:r>
    </w:p>
    <w:p>
      <w:pPr>
        <w:pStyle w:val="ListParagraph"/>
        <w:numPr>
          <w:ilvl w:val="0"/>
          <w:numId w:val="2"/>
        </w:numPr>
        <w:spacing w:after="80"/>
      </w:pPr>
      <w:r>
        <w:rPr>
          <w:rFonts w:ascii="Arial" w:cs="Arial" w:eastAsia="Arial" w:hAnsi="Arial"/>
          <w:color w:val="333333"/>
          <w:sz w:val="22"/>
          <w:szCs w:val="22"/>
        </w:rPr>
        <w:t xml:space="preserve">Credential isolation separates API keys from the sandbox through an inference proxy, matching OpenShell's gateway model</w:t>
      </w:r>
    </w:p>
    <w:p>
      <w:pPr>
        <w:pStyle w:val="ListParagraph"/>
        <w:numPr>
          <w:ilvl w:val="0"/>
          <w:numId w:val="2"/>
        </w:numPr>
        <w:spacing w:after="80"/>
      </w:pPr>
      <w:r>
        <w:rPr>
          <w:rFonts w:ascii="Arial" w:cs="Arial" w:eastAsia="Arial" w:hAnsi="Arial"/>
          <w:color w:val="333333"/>
          <w:sz w:val="22"/>
          <w:szCs w:val="22"/>
        </w:rPr>
        <w:t xml:space="preserve">Network policies enforce deny-default egress with explicit allowlisting, matching the intent of the official sandbox policy</w:t>
      </w:r>
    </w:p>
    <w:p>
      <w:pPr>
        <w:pStyle w:val="ListParagraph"/>
        <w:numPr>
          <w:ilvl w:val="0"/>
          <w:numId w:val="2"/>
        </w:numPr>
        <w:spacing w:after="80"/>
      </w:pPr>
      <w:r>
        <w:rPr>
          <w:rFonts w:ascii="Arial" w:cs="Arial" w:eastAsia="Arial" w:hAnsi="Arial"/>
          <w:color w:val="333333"/>
          <w:sz w:val="22"/>
          <w:szCs w:val="22"/>
        </w:rPr>
        <w:t xml:space="preserve">Process isolation runs as non-root with all capabilities dropped and PSA baseline enforcement</w:t>
      </w:r>
    </w:p>
    <w:p>
      <w:pPr>
        <w:spacing w:after="100"/>
      </w:pPr>
    </w:p>
    <w:p>
      <w:pPr>
        <w:spacing w:after="160"/>
      </w:pPr>
      <w:r>
        <w:rPr>
          <w:rFonts w:ascii="Arial" w:cs="Arial" w:eastAsia="Arial" w:hAnsi="Arial"/>
          <w:color w:val="333333"/>
          <w:sz w:val="22"/>
          <w:szCs w:val="22"/>
        </w:rPr>
        <w:t xml:space="preserve">The fifth layer (OpenShell runtime itself) is intentionally not present because NemoKube takes a K8s-native approach. OpenShell is a host-level container runtime; Kubernetes provides its own container orchestration. Replacing OpenShell with K8s primitives is the correct architectural choice for a GKE deployment.</w:t>
      </w:r>
    </w:p>
    <w:p>
      <w:pPr>
        <w:spacing w:after="160"/>
      </w:pPr>
      <w:r>
        <w:rPr>
          <w:rFonts w:ascii="Arial" w:cs="Arial" w:eastAsia="Arial" w:hAnsi="Arial"/>
          <w:b/>
          <w:bCs/>
          <w:color w:val="333333"/>
          <w:sz w:val="22"/>
          <w:szCs w:val="22"/>
        </w:rPr>
        <w:t xml:space="preserve">The remaining gaps</w:t>
      </w:r>
      <w:r>
        <w:rPr>
          <w:rFonts w:ascii="Arial" w:cs="Arial" w:eastAsia="Arial" w:hAnsi="Arial"/>
          <w:color w:val="333333"/>
          <w:sz w:val="22"/>
          <w:szCs w:val="22"/>
        </w:rPr>
        <w:t xml:space="preserve"> (FQDN filtering, per-binary network rules, blueprint digest verification) are real but bounded. FQDN filtering can be closed with Cilium. Per-binary rules require eBPF and are a stretch goal. Blueprint verification is an init container away. None of these gaps compromise the core security boundaries.</w:t>
      </w:r>
    </w:p>
    <w:p>
      <w:pPr>
        <w:spacing w:after="160"/>
      </w:pPr>
      <w:r>
        <w:rPr>
          <w:rFonts w:ascii="Arial" w:cs="Arial" w:eastAsia="Arial" w:hAnsi="Arial"/>
          <w:color w:val="333333"/>
          <w:sz w:val="22"/>
          <w:szCs w:val="22"/>
        </w:rPr>
        <w:t xml:space="preserve">NemoKube v2 is, in meaningful terms, NemoClaw's security model translated for Kubernetes. That is what makes it "NemoClaw on GKE" rather than "OpenClaw on GKE with a NemoClaw sticker."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666666"/>
        <w:sz w:val="18"/>
        <w:szCs w:val="18"/>
      </w:rPr>
      <w:t xml:space="preserve">NemoKube v2 PRD</w:t>
    </w:r>
    <w:r>
      <w:rPr>
        <w:rFonts w:ascii="Arial" w:cs="Arial" w:eastAsia="Arial" w:hAnsi="Arial"/>
        <w:color w:val="666666"/>
        <w:sz w:val="18"/>
        <w:szCs w:val="18"/>
      </w:rPr>
      <w:t xml:space="preserve">	NemoClaw-Compliant Security on GKE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333333"/>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2026-04-08T21:11:49.306Z</dcterms:created>
  <dcterms:modified xsi:type="dcterms:W3CDTF">2026-04-08T21:11:49.307Z</dcterms:modified>
</cp:coreProperties>
</file>

<file path=docProps/custom.xml><?xml version="1.0" encoding="utf-8"?>
<Properties xmlns="http://schemas.openxmlformats.org/officeDocument/2006/custom-properties" xmlns:vt="http://schemas.openxmlformats.org/officeDocument/2006/docPropsVTypes"/>
</file>