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73E8"/>
          <w:sz w:val="56"/>
          <w:szCs w:val="56"/>
        </w:rPr>
        <w:t xml:space="preserve">Sympozium FinOps Agent</w:t>
      </w:r>
    </w:p>
    <w:p>
      <w:pPr>
        <w:spacing w:after="600"/>
        <w:jc w:val="center"/>
      </w:pPr>
      <w:r>
        <w:rPr>
          <w:rFonts w:ascii="Arial" w:cs="Arial" w:eastAsia="Arial" w:hAnsi="Arial"/>
          <w:color w:val="5F6368"/>
          <w:sz w:val="32"/>
          <w:szCs w:val="32"/>
        </w:rPr>
        <w:t xml:space="preserve">Product Requirements Document</w:t>
      </w:r>
    </w:p>
    <w:p>
      <w:pPr>
        <w:pBdr>
          <w:top w:val="single" w:color="1A73E8" w:sz="6" w:space="1"/>
        </w:pBdr>
        <w:spacing w:after="400"/>
        <w:jc w:val="center"/>
      </w:pPr>
    </w:p>
    <w:p>
      <w:pPr>
        <w:spacing w:after="120"/>
        <w:jc w:val="center"/>
      </w:pPr>
      <w:r>
        <w:rPr>
          <w:rFonts w:ascii="Arial" w:cs="Arial" w:eastAsia="Arial" w:hAnsi="Arial"/>
          <w:color w:val="202124"/>
          <w:sz w:val="24"/>
          <w:szCs w:val="24"/>
        </w:rPr>
        <w:t xml:space="preserve">Cost Allocation, Attribution &amp; Agentic Inference Economics</w:t>
      </w:r>
    </w:p>
    <w:p>
      <w:pPr>
        <w:spacing w:after="600"/>
        <w:jc w:val="center"/>
      </w:pPr>
      <w:r>
        <w:rPr>
          <w:rFonts w:ascii="Arial" w:cs="Arial" w:eastAsia="Arial" w:hAnsi="Arial"/>
          <w:color w:val="202124"/>
          <w:sz w:val="24"/>
          <w:szCs w:val="24"/>
        </w:rPr>
        <w:t xml:space="preserve">for Google Cloud Platform &amp; Google Kubernetes Engine</w:t>
      </w:r>
    </w:p>
    <w:p>
      <w:pPr>
        <w:spacing w:after="120"/>
        <w:jc w:val="center"/>
      </w:pPr>
      <w:r>
        <w:rPr>
          <w:rFonts w:ascii="Arial" w:cs="Arial" w:eastAsia="Arial" w:hAnsi="Arial"/>
          <w:color w:val="5F6368"/>
          <w:sz w:val="22"/>
          <w:szCs w:val="22"/>
        </w:rPr>
        <w:t xml:space="preserve">Version 0.1  |  March 2026  |  DRAFT</w:t>
      </w:r>
    </w:p>
    <w:p>
      <w:pPr>
        <w:jc w:val="center"/>
      </w:pPr>
      <w:r>
        <w:rPr>
          <w:rFonts w:ascii="Arial" w:cs="Arial" w:eastAsia="Arial" w:hAnsi="Arial"/>
          <w:color w:val="5F6368"/>
          <w:sz w:val="22"/>
          <w:szCs w:val="22"/>
        </w:rPr>
        <w:t xml:space="preserve">Author: Geoff  |  geoffsdesk.com</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73E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73E8"/>
          <w:sz w:val="32"/>
          <w:szCs w:val="32"/>
        </w:rPr>
        <w:t xml:space="preserve">1. Problem Statement</w:t>
      </w:r>
    </w:p>
    <w:p>
      <w:pPr>
        <w:spacing w:after="120" w:line="276"/>
      </w:pPr>
      <w:r>
        <w:rPr>
          <w:rFonts w:ascii="Arial" w:cs="Arial" w:eastAsia="Arial" w:hAnsi="Arial"/>
          <w:color w:val="202124"/>
          <w:sz w:val="22"/>
          <w:szCs w:val="22"/>
        </w:rPr>
        <w:t xml:space="preserve">AI agent orchestration platforms like Sympozium run complex, multi-step workloads on Kubernetes that are fundamentally different from traditional microservices. A single agent run may spawn ephemeral pods across multiple node pools, invoke external LLM APIs at variable token costs, execute tool sidecars, and idle between decisions—all within seconds to minutes. Existing FinOps tooling (Kubecost, OpenCost, GCP Billing Console) was designed for long-running services, not ephemeral agentic workloads, and cannot answer the most basic question platform operators need answered: </w:t>
      </w:r>
      <w:r>
        <w:rPr>
          <w:rFonts w:ascii="Arial" w:cs="Arial" w:eastAsia="Arial" w:hAnsi="Arial"/>
          <w:b/>
          <w:bCs/>
          <w:i/>
          <w:iCs/>
          <w:color w:val="202124"/>
          <w:sz w:val="22"/>
          <w:szCs w:val="22"/>
        </w:rPr>
        <w:t xml:space="preserve">"How much did this agent run cost, and why?"</w:t>
      </w:r>
    </w:p>
    <w:p>
      <w:pPr>
        <w:spacing w:after="120" w:line="276"/>
      </w:pPr>
      <w:r>
        <w:rPr>
          <w:rFonts w:ascii="Arial" w:cs="Arial" w:eastAsia="Arial" w:hAnsi="Arial"/>
          <w:color w:val="202124"/>
          <w:sz w:val="22"/>
          <w:szCs w:val="22"/>
        </w:rPr>
        <w:t xml:space="preserve">Without purpose-built cost observability, platform teams face three critical blind spots: they cannot attribute GKE compute costs to individual agent runs or personas, they cannot correlate token spend with infrastructure spend for a holistic cost-per-decision metric, and they cannot set or enforce budgets that account for the unique cost profile of agentic inference (idle compute, burst token consumption, recursive tool chains).</w:t>
      </w:r>
    </w:p>
    <w:p>
      <w:pPr>
        <w:pStyle w:val="Heading1"/>
        <w:spacing w:after="120" w:before="360"/>
      </w:pPr>
      <w:r>
        <w:rPr>
          <w:rFonts w:ascii="Arial" w:cs="Arial" w:eastAsia="Arial" w:hAnsi="Arial"/>
          <w:b/>
          <w:bCs/>
          <w:color w:val="1A73E8"/>
          <w:sz w:val="32"/>
          <w:szCs w:val="32"/>
        </w:rP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G1</w:t>
            </w:r>
          </w:p>
        </w:tc>
        <w:tc>
          <w:tcPr>
            <w:tcW w:type="dxa" w:w="3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Per-agent cost attribution</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Allocate 100% of GKE compute costs to individual agent runs within 5-minute granularity</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G2</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Holistic cost-per-decision metric</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Combine compute, token, and tool costs into a single cost-per-decision metric visible in Grafana</w:t>
            </w:r>
          </w:p>
        </w:tc>
      </w:tr>
      <w:tr>
        <w:tc>
          <w:tcPr>
            <w:tcW w:type="dxa" w:w="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G3</w:t>
            </w:r>
          </w:p>
        </w:tc>
        <w:tc>
          <w:tcPr>
            <w:tcW w:type="dxa" w:w="3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Budget enforcement</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Alert when agent persona or namespace token spend exceeds configurable thresholds within a billing cycle</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G4</w:t>
            </w:r>
          </w:p>
        </w:tc>
        <w:tc>
          <w:tcPr>
            <w:tcW w:type="dxa" w:w="37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GCP-native, zero third-party deps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Use only GKE Cost Allocation, BigQuery, Cloud Monitoring, and Prometheus—no Kubecost, OpenCost, or external SaaS</w:t>
            </w:r>
          </w:p>
        </w:tc>
      </w:tr>
      <w:tr>
        <w:tc>
          <w:tcPr>
            <w:tcW w:type="dxa" w:w="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G5</w:t>
            </w:r>
          </w:p>
        </w:tc>
        <w:tc>
          <w:tcPr>
            <w:tcW w:type="dxa" w:w="3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Showcase-ready dashboards</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Deliver pre-built Grafana dashboards embeddable on geoffsdesk.com showcasing real cost data</w:t>
            </w:r>
          </w:p>
        </w:tc>
      </w:tr>
    </w:tbl>
    <w:p>
      <w:pPr>
        <w:pStyle w:val="Heading1"/>
        <w:spacing w:after="120" w:before="360"/>
      </w:pPr>
      <w:r>
        <w:rPr>
          <w:rFonts w:ascii="Arial" w:cs="Arial" w:eastAsia="Arial" w:hAnsi="Arial"/>
          <w:b/>
          <w:bCs/>
          <w:color w:val="1A73E8"/>
          <w:sz w:val="32"/>
          <w:szCs w:val="32"/>
        </w:rPr>
        <w:t xml:space="preserve">3. Non-Goals (v0.1)</w:t>
      </w:r>
    </w:p>
    <w:p>
      <w:pPr>
        <w:pStyle w:val="ListParagraph"/>
        <w:numPr>
          <w:ilvl w:val="0"/>
          <w:numId w:val="2"/>
        </w:numPr>
        <w:spacing w:after="60" w:line="276"/>
      </w:pPr>
      <w:r>
        <w:rPr>
          <w:rFonts w:ascii="Arial" w:cs="Arial" w:eastAsia="Arial" w:hAnsi="Arial"/>
          <w:b/>
          <w:bCs/>
          <w:color w:val="202124"/>
          <w:sz w:val="22"/>
          <w:szCs w:val="22"/>
        </w:rPr>
        <w:t xml:space="preserve">Multi-cloud support. </w:t>
      </w:r>
      <w:r>
        <w:rPr>
          <w:rFonts w:ascii="Arial" w:cs="Arial" w:eastAsia="Arial" w:hAnsi="Arial"/>
          <w:color w:val="202124"/>
          <w:sz w:val="22"/>
          <w:szCs w:val="22"/>
        </w:rPr>
        <w:t xml:space="preserve">This agent targets GCP/GKE exclusively. AWS EKS and Azure AKS are future considerations.</w:t>
      </w:r>
    </w:p>
    <w:p>
      <w:pPr>
        <w:pStyle w:val="ListParagraph"/>
        <w:numPr>
          <w:ilvl w:val="0"/>
          <w:numId w:val="2"/>
        </w:numPr>
        <w:spacing w:after="60" w:line="276"/>
      </w:pPr>
      <w:r>
        <w:rPr>
          <w:rFonts w:ascii="Arial" w:cs="Arial" w:eastAsia="Arial" w:hAnsi="Arial"/>
          <w:b/>
          <w:bCs/>
          <w:color w:val="202124"/>
          <w:sz w:val="22"/>
          <w:szCs w:val="22"/>
        </w:rPr>
        <w:t xml:space="preserve">Real-time cost optimization/autoscaling. </w:t>
      </w:r>
      <w:r>
        <w:rPr>
          <w:rFonts w:ascii="Arial" w:cs="Arial" w:eastAsia="Arial" w:hAnsi="Arial"/>
          <w:color w:val="202124"/>
          <w:sz w:val="22"/>
          <w:szCs w:val="22"/>
        </w:rPr>
        <w:t xml:space="preserve">v0.1 is observability-only; automated remediation (e.g., preemptible node scheduling) is deferred.</w:t>
      </w:r>
    </w:p>
    <w:p>
      <w:pPr>
        <w:pStyle w:val="ListParagraph"/>
        <w:numPr>
          <w:ilvl w:val="0"/>
          <w:numId w:val="2"/>
        </w:numPr>
        <w:spacing w:after="60" w:line="276"/>
      </w:pPr>
      <w:r>
        <w:rPr>
          <w:rFonts w:ascii="Arial" w:cs="Arial" w:eastAsia="Arial" w:hAnsi="Arial"/>
          <w:b/>
          <w:bCs/>
          <w:color w:val="202124"/>
          <w:sz w:val="22"/>
          <w:szCs w:val="22"/>
        </w:rPr>
        <w:t xml:space="preserve">Chargeback invoicing. </w:t>
      </w:r>
      <w:r>
        <w:rPr>
          <w:rFonts w:ascii="Arial" w:cs="Arial" w:eastAsia="Arial" w:hAnsi="Arial"/>
          <w:color w:val="202124"/>
          <w:sz w:val="22"/>
          <w:szCs w:val="22"/>
        </w:rPr>
        <w:t xml:space="preserve">We surface cost allocation data but do not generate invoices or integrate with billing systems.</w:t>
      </w:r>
    </w:p>
    <w:p>
      <w:pPr>
        <w:pStyle w:val="ListParagraph"/>
        <w:numPr>
          <w:ilvl w:val="0"/>
          <w:numId w:val="2"/>
        </w:numPr>
        <w:spacing w:after="60" w:line="276"/>
      </w:pPr>
      <w:r>
        <w:rPr>
          <w:rFonts w:ascii="Arial" w:cs="Arial" w:eastAsia="Arial" w:hAnsi="Arial"/>
          <w:b/>
          <w:bCs/>
          <w:color w:val="202124"/>
          <w:sz w:val="22"/>
          <w:szCs w:val="22"/>
        </w:rPr>
        <w:t xml:space="preserve">Historical backfill. </w:t>
      </w:r>
      <w:r>
        <w:rPr>
          <w:rFonts w:ascii="Arial" w:cs="Arial" w:eastAsia="Arial" w:hAnsi="Arial"/>
          <w:color w:val="202124"/>
          <w:sz w:val="22"/>
          <w:szCs w:val="22"/>
        </w:rPr>
        <w:t xml:space="preserve">Cost tracking begins from deployment; backfilling pre-existing billing data is out of scope.</w:t>
      </w:r>
    </w:p>
    <w:p>
      <w:pPr>
        <w:pStyle w:val="ListParagraph"/>
        <w:numPr>
          <w:ilvl w:val="0"/>
          <w:numId w:val="2"/>
        </w:numPr>
        <w:spacing w:after="60" w:line="276"/>
      </w:pPr>
      <w:r>
        <w:rPr>
          <w:rFonts w:ascii="Arial" w:cs="Arial" w:eastAsia="Arial" w:hAnsi="Arial"/>
          <w:b/>
          <w:bCs/>
          <w:color w:val="202124"/>
          <w:sz w:val="22"/>
          <w:szCs w:val="22"/>
        </w:rPr>
        <w:t xml:space="preserve">Custom LLM pricing models. </w:t>
      </w:r>
      <w:r>
        <w:rPr>
          <w:rFonts w:ascii="Arial" w:cs="Arial" w:eastAsia="Arial" w:hAnsi="Arial"/>
          <w:color w:val="202124"/>
          <w:sz w:val="22"/>
          <w:szCs w:val="22"/>
        </w:rPr>
        <w:t xml:space="preserve">v0.1 uses static per-token pricing tables; dynamic pricing negotiation or commitment discounts are deferred.</w:t>
      </w:r>
    </w:p>
    <w:p>
      <w:r>
        <w:br w:type="page"/>
      </w:r>
    </w:p>
    <w:p>
      <w:pPr>
        <w:pStyle w:val="Heading1"/>
        <w:spacing w:after="120" w:before="360"/>
      </w:pPr>
      <w:r>
        <w:rPr>
          <w:rFonts w:ascii="Arial" w:cs="Arial" w:eastAsia="Arial" w:hAnsi="Arial"/>
          <w:b/>
          <w:bCs/>
          <w:color w:val="1A73E8"/>
          <w:sz w:val="32"/>
          <w:szCs w:val="32"/>
        </w:rPr>
        <w:t xml:space="preserve">4. The Cost Model: Agentic Inference Economics</w:t>
      </w:r>
    </w:p>
    <w:p>
      <w:pPr>
        <w:spacing w:after="120" w:line="276"/>
      </w:pPr>
      <w:r>
        <w:rPr>
          <w:rFonts w:ascii="Arial" w:cs="Arial" w:eastAsia="Arial" w:hAnsi="Arial"/>
          <w:color w:val="202124"/>
          <w:sz w:val="22"/>
          <w:szCs w:val="22"/>
        </w:rPr>
        <w:t xml:space="preserve">Traditional cloud cost models track compute hours and API calls. Agentic AI introduces a fundamentally different cost structure with three distinct dimensions:</w:t>
      </w:r>
    </w:p>
    <w:p>
      <w:pPr>
        <w:pStyle w:val="Heading2"/>
        <w:spacing w:after="120" w:before="240"/>
      </w:pPr>
      <w:r>
        <w:rPr>
          <w:rFonts w:ascii="Arial" w:cs="Arial" w:eastAsia="Arial" w:hAnsi="Arial"/>
          <w:b/>
          <w:bCs/>
          <w:color w:val="202124"/>
          <w:sz w:val="28"/>
          <w:szCs w:val="28"/>
        </w:rPr>
        <w:t xml:space="preserve">4.1 Cost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GCP Data Source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Cost per Agent
(Passive Cost)</w:t>
            </w:r>
          </w:p>
        </w:tc>
        <w:tc>
          <w:tcPr>
            <w:tcW w:type="dxa" w:w="35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The baseline infrastructure cost of an agent existing in a ready state—reserved compute, persistent storage, warm model endpoints. Incurred even when no decisions are being made.</w:t>
            </w:r>
          </w:p>
        </w:tc>
        <w:tc>
          <w:tcPr>
            <w:tcW w:type="dxa" w:w="35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GKE Cost Allocation (namespace/label scoped), Vertex AI endpoint idle cost</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Cost per Decision
(Inference Cost)</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The marginal cost of a single reasoning step: LLM input/output tokens, GPU seconds consumed during inference, memory pressure. This is the core unit economics metric for agentic workloads.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OTel metrics (gen_ai.usage.input_tokens, gen_ai.usage.output_tokens), GKE pod-level resource metering, Vertex AI API pricing</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Cost per Action
(Execution Cost)</w:t>
            </w:r>
          </w:p>
        </w:tc>
        <w:tc>
          <w:tcPr>
            <w:tcW w:type="dxa" w:w="35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The cost of carrying out a decision: tool invocations (web search, code execution, API calls), sidecar container compute, external service fees. Often the hidden cost multiplier in recursive agent chains.</w:t>
            </w:r>
          </w:p>
        </w:tc>
        <w:tc>
          <w:tcPr>
            <w:tcW w:type="dxa" w:w="35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OTel metrics (sympozium.tool.invocations), GKE sidecar metering, Cloud Functions/Run invocation costs</w:t>
            </w:r>
          </w:p>
        </w:tc>
      </w:tr>
    </w:tbl>
    <w:p>
      <w:pPr>
        <w:pStyle w:val="Heading2"/>
        <w:spacing w:after="120" w:before="240"/>
      </w:pPr>
      <w:r>
        <w:rPr>
          <w:rFonts w:ascii="Arial" w:cs="Arial" w:eastAsia="Arial" w:hAnsi="Arial"/>
          <w:b/>
          <w:bCs/>
          <w:color w:val="202124"/>
          <w:sz w:val="28"/>
          <w:szCs w:val="28"/>
        </w:rPr>
        <w:t xml:space="preserve">4.2 The Agentic Cost Equation</w:t>
      </w:r>
    </w:p>
    <w:p>
      <w:pPr>
        <w:spacing w:after="200" w:before="200"/>
        <w:jc w:val="center"/>
      </w:pPr>
      <w:r>
        <w:rPr>
          <w:rFonts w:ascii="Consolas" w:cs="Consolas" w:eastAsia="Consolas" w:hAnsi="Consolas"/>
          <w:b/>
          <w:bCs/>
          <w:color w:val="1A73E8"/>
          <w:sz w:val="22"/>
          <w:szCs w:val="22"/>
        </w:rPr>
        <w:t xml:space="preserve">Total Agent Cost = Passive Cost + Σ(Decision Cost × Decisions) + Σ(Action Cost × Actions)</w:t>
      </w:r>
    </w:p>
    <w:p>
      <w:pPr>
        <w:spacing w:after="120" w:line="276"/>
      </w:pPr>
      <w:r>
        <w:rPr>
          <w:rFonts w:ascii="Arial" w:cs="Arial" w:eastAsia="Arial" w:hAnsi="Arial"/>
          <w:color w:val="202124"/>
          <w:sz w:val="22"/>
          <w:szCs w:val="22"/>
        </w:rPr>
        <w:t xml:space="preserve">Where each component maps directly to Sympozium’s existing OTel instrumentation:</w:t>
      </w:r>
    </w:p>
    <w:p>
      <w:pPr>
        <w:pStyle w:val="ListParagraph"/>
        <w:numPr>
          <w:ilvl w:val="0"/>
          <w:numId w:val="2"/>
        </w:numPr>
        <w:spacing w:after="60" w:line="276"/>
      </w:pPr>
      <w:r>
        <w:rPr>
          <w:rFonts w:ascii="Arial" w:cs="Arial" w:eastAsia="Arial" w:hAnsi="Arial"/>
          <w:b/>
          <w:bCs/>
          <w:color w:val="202124"/>
          <w:sz w:val="22"/>
          <w:szCs w:val="22"/>
        </w:rPr>
        <w:t xml:space="preserve">Passive Cost: </w:t>
      </w:r>
      <w:r>
        <w:rPr>
          <w:rFonts w:ascii="Arial" w:cs="Arial" w:eastAsia="Arial" w:hAnsi="Arial"/>
          <w:color w:val="202124"/>
          <w:sz w:val="22"/>
          <w:szCs w:val="22"/>
        </w:rPr>
        <w:t xml:space="preserve">GKE pod resource requests × time alive, amortized across agent runs in the period</w:t>
      </w:r>
    </w:p>
    <w:p>
      <w:pPr>
        <w:pStyle w:val="ListParagraph"/>
        <w:numPr>
          <w:ilvl w:val="0"/>
          <w:numId w:val="2"/>
        </w:numPr>
        <w:spacing w:after="60" w:line="276"/>
      </w:pPr>
      <w:r>
        <w:rPr>
          <w:rFonts w:ascii="Arial" w:cs="Arial" w:eastAsia="Arial" w:hAnsi="Arial"/>
          <w:b/>
          <w:bCs/>
          <w:color w:val="202124"/>
          <w:sz w:val="22"/>
          <w:szCs w:val="22"/>
        </w:rPr>
        <w:t xml:space="preserve">Decision Cost: </w:t>
      </w:r>
      <w:r>
        <w:rPr>
          <w:rFonts w:ascii="Arial" w:cs="Arial" w:eastAsia="Arial" w:hAnsi="Arial"/>
          <w:color w:val="202124"/>
          <w:sz w:val="22"/>
          <w:szCs w:val="22"/>
        </w:rPr>
        <w:t xml:space="preserve">(input_tokens × input_price) + (output_tokens × output_price) + (gpu_seconds × gpu_rate)</w:t>
      </w:r>
    </w:p>
    <w:p>
      <w:pPr>
        <w:pStyle w:val="ListParagraph"/>
        <w:numPr>
          <w:ilvl w:val="0"/>
          <w:numId w:val="2"/>
        </w:numPr>
        <w:spacing w:after="60" w:line="276"/>
      </w:pPr>
      <w:r>
        <w:rPr>
          <w:rFonts w:ascii="Arial" w:cs="Arial" w:eastAsia="Arial" w:hAnsi="Arial"/>
          <w:b/>
          <w:bCs/>
          <w:color w:val="202124"/>
          <w:sz w:val="22"/>
          <w:szCs w:val="22"/>
        </w:rPr>
        <w:t xml:space="preserve">Action Cost: </w:t>
      </w:r>
      <w:r>
        <w:rPr>
          <w:rFonts w:ascii="Arial" w:cs="Arial" w:eastAsia="Arial" w:hAnsi="Arial"/>
          <w:color w:val="202124"/>
          <w:sz w:val="22"/>
          <w:szCs w:val="22"/>
        </w:rPr>
        <w:t xml:space="preserve">tool_invocation_count × avg_tool_cost + sidecar_compute_cost</w:t>
      </w:r>
    </w:p>
    <w:p>
      <w:pPr>
        <w:pStyle w:val="Heading2"/>
        <w:spacing w:after="120" w:before="240"/>
      </w:pPr>
      <w:r>
        <w:rPr>
          <w:rFonts w:ascii="Arial" w:cs="Arial" w:eastAsia="Arial" w:hAnsi="Arial"/>
          <w:b/>
          <w:bCs/>
          <w:color w:val="202124"/>
          <w:sz w:val="28"/>
          <w:szCs w:val="28"/>
        </w:rPr>
        <w:t xml:space="preserve">4.3 Model Tier Pricing</w:t>
      </w:r>
    </w:p>
    <w:p>
      <w:pPr>
        <w:spacing w:after="120" w:line="276"/>
      </w:pPr>
      <w:r>
        <w:rPr>
          <w:rFonts w:ascii="Arial" w:cs="Arial" w:eastAsia="Arial" w:hAnsi="Arial"/>
          <w:color w:val="202124"/>
          <w:sz w:val="22"/>
          <w:szCs w:val="22"/>
        </w:rPr>
        <w:t xml:space="preserve">Sympozium supports multi-tier model routing. Cost attribution must account for the price differential across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Models</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($/1M tokens)</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($/1M tokens)</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Frontier</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Gemini 2.5 Pro</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$1.25 – $10.00</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$5.00 – $30.00</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Balanced</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Gemini 2.0 Flash</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$0.10 – $0.75</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$0.40 – $3.00</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Fast / Lite</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Gemini 2.0 Flash Lite</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$0.01 – $0.10</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$0.05 – $0.40</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Self-Hosted</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vLLM on GKE GPUs</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GPU $/hr amortized</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GPU $/hr amortized</w:t>
            </w:r>
          </w:p>
        </w:tc>
      </w:tr>
    </w:tbl>
    <w:p>
      <w:r>
        <w:br w:type="page"/>
      </w:r>
    </w:p>
    <w:p>
      <w:pPr>
        <w:pStyle w:val="Heading1"/>
        <w:spacing w:after="120" w:before="360"/>
      </w:pPr>
      <w:r>
        <w:rPr>
          <w:rFonts w:ascii="Arial" w:cs="Arial" w:eastAsia="Arial" w:hAnsi="Arial"/>
          <w:b/>
          <w:bCs/>
          <w:color w:val="1A73E8"/>
          <w:sz w:val="32"/>
          <w:szCs w:val="32"/>
        </w:rPr>
        <w:t xml:space="preserve">5. User Stories</w:t>
      </w:r>
    </w:p>
    <w:p>
      <w:pPr>
        <w:pStyle w:val="Heading2"/>
        <w:spacing w:after="120" w:before="240"/>
      </w:pPr>
      <w:r>
        <w:rPr>
          <w:rFonts w:ascii="Arial" w:cs="Arial" w:eastAsia="Arial" w:hAnsi="Arial"/>
          <w:b/>
          <w:bCs/>
          <w:color w:val="202124"/>
          <w:sz w:val="28"/>
          <w:szCs w:val="28"/>
        </w:rPr>
        <w:t xml:space="preserve">5.1 Platform Operator</w:t>
      </w:r>
    </w:p>
    <w:p>
      <w:pPr>
        <w:pStyle w:val="ListParagraph"/>
        <w:numPr>
          <w:ilvl w:val="0"/>
          <w:numId w:val="2"/>
        </w:numPr>
        <w:spacing w:after="60" w:line="276"/>
      </w:pPr>
      <w:r>
        <w:rPr>
          <w:rFonts w:ascii="Arial" w:cs="Arial" w:eastAsia="Arial" w:hAnsi="Arial"/>
          <w:color w:val="202124"/>
          <w:sz w:val="22"/>
          <w:szCs w:val="22"/>
        </w:rPr>
        <w:t xml:space="preserve">As a platform operator, I want to see the total cost of each agent run (compute + tokens + tools) so that I can identify expensive workloads and optimize resource allocation.</w:t>
      </w:r>
    </w:p>
    <w:p>
      <w:pPr>
        <w:pStyle w:val="ListParagraph"/>
        <w:numPr>
          <w:ilvl w:val="0"/>
          <w:numId w:val="2"/>
        </w:numPr>
        <w:spacing w:after="60" w:line="276"/>
      </w:pPr>
      <w:r>
        <w:rPr>
          <w:rFonts w:ascii="Arial" w:cs="Arial" w:eastAsia="Arial" w:hAnsi="Arial"/>
          <w:color w:val="202124"/>
          <w:sz w:val="22"/>
          <w:szCs w:val="22"/>
        </w:rPr>
        <w:t xml:space="preserve">As a platform operator, I want to set per-namespace and per-persona token budgets so that runaway agents cannot consume unbounded resources.</w:t>
      </w:r>
    </w:p>
    <w:p>
      <w:pPr>
        <w:pStyle w:val="ListParagraph"/>
        <w:numPr>
          <w:ilvl w:val="0"/>
          <w:numId w:val="2"/>
        </w:numPr>
        <w:spacing w:after="60" w:line="276"/>
      </w:pPr>
      <w:r>
        <w:rPr>
          <w:rFonts w:ascii="Arial" w:cs="Arial" w:eastAsia="Arial" w:hAnsi="Arial"/>
          <w:color w:val="202124"/>
          <w:sz w:val="22"/>
          <w:szCs w:val="22"/>
        </w:rPr>
        <w:t xml:space="preserve">As a platform operator, I want to view cost trends over time, broken down by model tier, so that I can forecast spend and right-size my GKE node pools.</w:t>
      </w:r>
    </w:p>
    <w:p>
      <w:pPr>
        <w:pStyle w:val="Heading2"/>
        <w:spacing w:after="120" w:before="240"/>
      </w:pPr>
      <w:r>
        <w:rPr>
          <w:rFonts w:ascii="Arial" w:cs="Arial" w:eastAsia="Arial" w:hAnsi="Arial"/>
          <w:b/>
          <w:bCs/>
          <w:color w:val="202124"/>
          <w:sz w:val="28"/>
          <w:szCs w:val="28"/>
        </w:rPr>
        <w:t xml:space="preserve">5.2 Developer / Agent Author</w:t>
      </w:r>
    </w:p>
    <w:p>
      <w:pPr>
        <w:pStyle w:val="ListParagraph"/>
        <w:numPr>
          <w:ilvl w:val="0"/>
          <w:numId w:val="2"/>
        </w:numPr>
        <w:spacing w:after="60" w:line="276"/>
      </w:pPr>
      <w:r>
        <w:rPr>
          <w:rFonts w:ascii="Arial" w:cs="Arial" w:eastAsia="Arial" w:hAnsi="Arial"/>
          <w:color w:val="202124"/>
          <w:sz w:val="22"/>
          <w:szCs w:val="22"/>
        </w:rPr>
        <w:t xml:space="preserve">As an agent developer, I want to see the cost breakdown of my agent’s runs (how much was inference vs. tools vs. idle) so that I can optimize my agent’s architecture.</w:t>
      </w:r>
    </w:p>
    <w:p>
      <w:pPr>
        <w:pStyle w:val="ListParagraph"/>
        <w:numPr>
          <w:ilvl w:val="0"/>
          <w:numId w:val="2"/>
        </w:numPr>
        <w:spacing w:after="60" w:line="276"/>
      </w:pPr>
      <w:r>
        <w:rPr>
          <w:rFonts w:ascii="Arial" w:cs="Arial" w:eastAsia="Arial" w:hAnsi="Arial"/>
          <w:color w:val="202124"/>
          <w:sz w:val="22"/>
          <w:szCs w:val="22"/>
        </w:rPr>
        <w:t xml:space="preserve">As an agent developer, I want cost-per-run alerts when my agent exceeds a cost threshold so that I can catch regressions before they hit production budgets.</w:t>
      </w:r>
    </w:p>
    <w:p>
      <w:pPr>
        <w:pStyle w:val="Heading2"/>
        <w:spacing w:after="120" w:before="240"/>
      </w:pPr>
      <w:r>
        <w:rPr>
          <w:rFonts w:ascii="Arial" w:cs="Arial" w:eastAsia="Arial" w:hAnsi="Arial"/>
          <w:b/>
          <w:bCs/>
          <w:color w:val="202124"/>
          <w:sz w:val="28"/>
          <w:szCs w:val="28"/>
        </w:rPr>
        <w:t xml:space="preserve">5.3 FinOps Lead / Finance</w:t>
      </w:r>
    </w:p>
    <w:p>
      <w:pPr>
        <w:pStyle w:val="ListParagraph"/>
        <w:numPr>
          <w:ilvl w:val="0"/>
          <w:numId w:val="2"/>
        </w:numPr>
        <w:spacing w:after="60" w:line="276"/>
      </w:pPr>
      <w:r>
        <w:rPr>
          <w:rFonts w:ascii="Arial" w:cs="Arial" w:eastAsia="Arial" w:hAnsi="Arial"/>
          <w:color w:val="202124"/>
          <w:sz w:val="22"/>
          <w:szCs w:val="22"/>
        </w:rPr>
        <w:t xml:space="preserve">As a FinOps lead, I want cost allocation reports by team, project, and agent persona so that I can attribute AI spend to business units.</w:t>
      </w:r>
    </w:p>
    <w:p>
      <w:pPr>
        <w:pStyle w:val="ListParagraph"/>
        <w:numPr>
          <w:ilvl w:val="0"/>
          <w:numId w:val="2"/>
        </w:numPr>
        <w:spacing w:after="60" w:line="276"/>
      </w:pPr>
      <w:r>
        <w:rPr>
          <w:rFonts w:ascii="Arial" w:cs="Arial" w:eastAsia="Arial" w:hAnsi="Arial"/>
          <w:color w:val="202124"/>
          <w:sz w:val="22"/>
          <w:szCs w:val="22"/>
        </w:rPr>
        <w:t xml:space="preserve">As a FinOps lead, I want a unit economics dashboard showing cost-per-decision trends so that I can report on the efficiency of our AI investments.</w:t>
      </w:r>
    </w:p>
    <w:p>
      <w:pPr>
        <w:pStyle w:val="Heading1"/>
        <w:spacing w:after="120" w:before="360"/>
      </w:pPr>
      <w:r>
        <w:rPr>
          <w:rFonts w:ascii="Arial" w:cs="Arial" w:eastAsia="Arial" w:hAnsi="Arial"/>
          <w:b/>
          <w:bCs/>
          <w:color w:val="1A73E8"/>
          <w:sz w:val="32"/>
          <w:szCs w:val="32"/>
        </w:rPr>
        <w:t xml:space="preserve">6. Requirements</w:t>
      </w:r>
    </w:p>
    <w:p>
      <w:pPr>
        <w:pStyle w:val="Heading2"/>
        <w:spacing w:after="120" w:before="240"/>
      </w:pPr>
      <w:r>
        <w:rPr>
          <w:rFonts w:ascii="Arial" w:cs="Arial" w:eastAsia="Arial" w:hAnsi="Arial"/>
          <w:b/>
          <w:bCs/>
          <w:color w:val="202124"/>
          <w:sz w:val="28"/>
          <w:szCs w:val="28"/>
        </w:rPr>
        <w:t xml:space="preserve">6.1 Must-Have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30"/>
        <w:gridCol w:w="5330"/>
      </w:tblGrid>
      <w:tr>
        <w:tc>
          <w:tcPr>
            <w:tcW w:type="dxa" w:w="7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33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33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7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R1</w:t>
            </w:r>
          </w:p>
        </w:tc>
        <w:tc>
          <w:tcPr>
            <w:tcW w:type="dxa" w:w="33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BigQuery cost view joining GKE billing export with pod labels</w:t>
            </w:r>
          </w:p>
        </w:tc>
        <w:tc>
          <w:tcPr>
            <w:tcW w:type="dxa" w:w="53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SQL view returns cost-per-pod-label with namespace, agent persona, model tier, and run ID dimensions. Query latency &lt; 10s for 30-day window.</w:t>
            </w:r>
          </w:p>
        </w:tc>
      </w:tr>
      <w:tr>
        <w:tc>
          <w:tcPr>
            <w:tcW w:type="dxa" w:w="7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R2</w:t>
            </w:r>
          </w:p>
        </w:tc>
        <w:tc>
          <w:tcPr>
            <w:tcW w:type="dxa" w:w="33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cost-tracker Go service exposing Prometheus metrics</w:t>
            </w:r>
          </w:p>
        </w:tc>
        <w:tc>
          <w:tcPr>
            <w:tcW w:type="dxa" w:w="53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Service runs as Deployment in sympozium-system, queries BigQuery on configurable interval (default 5m), exposes /metrics endpoint with sympozium_cost_* metric family.</w:t>
            </w:r>
          </w:p>
        </w:tc>
      </w:tr>
      <w:tr>
        <w:tc>
          <w:tcPr>
            <w:tcW w:type="dxa" w:w="7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R3</w:t>
            </w:r>
          </w:p>
        </w:tc>
        <w:tc>
          <w:tcPr>
            <w:tcW w:type="dxa" w:w="33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Token cost calculation from OTel metrics</w:t>
            </w:r>
          </w:p>
        </w:tc>
        <w:tc>
          <w:tcPr>
            <w:tcW w:type="dxa" w:w="53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Combines gen_ai.usage.input_tokens and output_tokens with per-model pricing config to produce sympozium_cost_tokens_total gauge per agent run.</w:t>
            </w:r>
          </w:p>
        </w:tc>
      </w:tr>
      <w:tr>
        <w:tc>
          <w:tcPr>
            <w:tcW w:type="dxa" w:w="7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R4</w:t>
            </w:r>
          </w:p>
        </w:tc>
        <w:tc>
          <w:tcPr>
            <w:tcW w:type="dxa" w:w="33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Grafana dashboard: Cost Overview</w:t>
            </w:r>
          </w:p>
        </w:tc>
        <w:tc>
          <w:tcPr>
            <w:tcW w:type="dxa" w:w="53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Pre-built dashboard with panels: cost by namespace, cost by model tier, cost per agent run (top-N), token spend trend, budget burn-down gauge. Importable via JSON.</w:t>
            </w:r>
          </w:p>
        </w:tc>
      </w:tr>
      <w:tr>
        <w:tc>
          <w:tcPr>
            <w:tcW w:type="dxa" w:w="7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R5</w:t>
            </w:r>
          </w:p>
        </w:tc>
        <w:tc>
          <w:tcPr>
            <w:tcW w:type="dxa" w:w="33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Budget alerting via Prometheus rules</w:t>
            </w:r>
          </w:p>
        </w:tc>
        <w:tc>
          <w:tcPr>
            <w:tcW w:type="dxa" w:w="53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PrometheusRule CRD fires alerts when: namespace token spend &gt; threshold, single agent run cost &gt; threshold, daily spend rate projects over monthly budget.</w:t>
            </w:r>
          </w:p>
        </w:tc>
      </w:tr>
      <w:tr>
        <w:tc>
          <w:tcPr>
            <w:tcW w:type="dxa" w:w="7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R6</w:t>
            </w:r>
          </w:p>
        </w:tc>
        <w:tc>
          <w:tcPr>
            <w:tcW w:type="dxa" w:w="33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Helm chart integration</w:t>
            </w:r>
          </w:p>
        </w:tc>
        <w:tc>
          <w:tcPr>
            <w:tcW w:type="dxa" w:w="53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All components deployable via existing Sympozium Helm chart with finops.enabled toggle. Zero external dependencies beyond GCP APIs.</w:t>
            </w:r>
          </w:p>
        </w:tc>
      </w:tr>
    </w:tbl>
    <w:p>
      <w:pPr>
        <w:pStyle w:val="Heading2"/>
        <w:spacing w:after="120" w:before="240"/>
      </w:pPr>
      <w:r>
        <w:rPr>
          <w:rFonts w:ascii="Arial" w:cs="Arial" w:eastAsia="Arial" w:hAnsi="Arial"/>
          <w:b/>
          <w:bCs/>
          <w:color w:val="202124"/>
          <w:sz w:val="28"/>
          <w:szCs w:val="28"/>
        </w:rPr>
        <w:t xml:space="preserve">6.2 Nice-to-Have (P1)</w:t>
      </w:r>
    </w:p>
    <w:p>
      <w:pPr>
        <w:pStyle w:val="ListParagraph"/>
        <w:numPr>
          <w:ilvl w:val="0"/>
          <w:numId w:val="2"/>
        </w:numPr>
        <w:spacing w:after="60" w:line="276"/>
      </w:pPr>
      <w:r>
        <w:rPr>
          <w:rFonts w:ascii="Arial" w:cs="Arial" w:eastAsia="Arial" w:hAnsi="Arial"/>
          <w:b/>
          <w:bCs/>
          <w:color w:val="202124"/>
          <w:sz w:val="22"/>
          <w:szCs w:val="22"/>
        </w:rPr>
        <w:t xml:space="preserve">R7 — Cost anomaly detection: </w:t>
      </w:r>
      <w:r>
        <w:rPr>
          <w:rFonts w:ascii="Arial" w:cs="Arial" w:eastAsia="Arial" w:hAnsi="Arial"/>
          <w:color w:val="202124"/>
          <w:sz w:val="22"/>
          <w:szCs w:val="22"/>
        </w:rPr>
        <w:t xml:space="preserve">Statistical anomaly detection on cost-per-run time series; alert when a run’s cost deviates &gt;2σ from the persona’s 7-day rolling average.</w:t>
      </w:r>
    </w:p>
    <w:p>
      <w:pPr>
        <w:pStyle w:val="ListParagraph"/>
        <w:numPr>
          <w:ilvl w:val="0"/>
          <w:numId w:val="2"/>
        </w:numPr>
        <w:spacing w:after="60" w:line="276"/>
      </w:pPr>
      <w:r>
        <w:rPr>
          <w:rFonts w:ascii="Arial" w:cs="Arial" w:eastAsia="Arial" w:hAnsi="Arial"/>
          <w:b/>
          <w:bCs/>
          <w:color w:val="202124"/>
          <w:sz w:val="22"/>
          <w:szCs w:val="22"/>
        </w:rPr>
        <w:t xml:space="preserve">R8 — Spot/preemptible savings tracking: </w:t>
      </w:r>
      <w:r>
        <w:rPr>
          <w:rFonts w:ascii="Arial" w:cs="Arial" w:eastAsia="Arial" w:hAnsi="Arial"/>
          <w:color w:val="202124"/>
          <w:sz w:val="22"/>
          <w:szCs w:val="22"/>
        </w:rPr>
        <w:t xml:space="preserve">Track how much each agent run saved by running on Spot VMs vs. on-demand pricing.</w:t>
      </w:r>
    </w:p>
    <w:p>
      <w:pPr>
        <w:pStyle w:val="ListParagraph"/>
        <w:numPr>
          <w:ilvl w:val="0"/>
          <w:numId w:val="2"/>
        </w:numPr>
        <w:spacing w:after="60" w:line="276"/>
      </w:pPr>
      <w:r>
        <w:rPr>
          <w:rFonts w:ascii="Arial" w:cs="Arial" w:eastAsia="Arial" w:hAnsi="Arial"/>
          <w:b/>
          <w:bCs/>
          <w:color w:val="202124"/>
          <w:sz w:val="22"/>
          <w:szCs w:val="22"/>
        </w:rPr>
        <w:t xml:space="preserve">R9 — Idle cost attribution: </w:t>
      </w:r>
      <w:r>
        <w:rPr>
          <w:rFonts w:ascii="Arial" w:cs="Arial" w:eastAsia="Arial" w:hAnsi="Arial"/>
          <w:color w:val="202124"/>
          <w:sz w:val="22"/>
          <w:szCs w:val="22"/>
        </w:rPr>
        <w:t xml:space="preserve">Attribute unallocated cluster cost (system pods, overhead) proportionally to active agent namespaces.</w:t>
      </w:r>
    </w:p>
    <w:p>
      <w:pPr>
        <w:pStyle w:val="ListParagraph"/>
        <w:numPr>
          <w:ilvl w:val="0"/>
          <w:numId w:val="2"/>
        </w:numPr>
        <w:spacing w:after="60" w:line="276"/>
      </w:pPr>
      <w:r>
        <w:rPr>
          <w:rFonts w:ascii="Arial" w:cs="Arial" w:eastAsia="Arial" w:hAnsi="Arial"/>
          <w:b/>
          <w:bCs/>
          <w:color w:val="202124"/>
          <w:sz w:val="22"/>
          <w:szCs w:val="22"/>
        </w:rPr>
        <w:t xml:space="preserve">R10 — REST API for cost queries: </w:t>
      </w:r>
      <w:r>
        <w:rPr>
          <w:rFonts w:ascii="Arial" w:cs="Arial" w:eastAsia="Arial" w:hAnsi="Arial"/>
          <w:color w:val="202124"/>
          <w:sz w:val="22"/>
          <w:szCs w:val="22"/>
        </w:rPr>
        <w:t xml:space="preserve">Expose /api/v1/costs endpoint returning cost breakdowns by agent run, persona, namespace, and time range.</w:t>
      </w:r>
    </w:p>
    <w:p>
      <w:pPr>
        <w:pStyle w:val="Heading2"/>
        <w:spacing w:after="120" w:before="240"/>
      </w:pPr>
      <w:r>
        <w:rPr>
          <w:rFonts w:ascii="Arial" w:cs="Arial" w:eastAsia="Arial" w:hAnsi="Arial"/>
          <w:b/>
          <w:bCs/>
          <w:color w:val="202124"/>
          <w:sz w:val="28"/>
          <w:szCs w:val="28"/>
        </w:rPr>
        <w:t xml:space="preserve">6.3 Future Considerations (P2)</w:t>
      </w:r>
    </w:p>
    <w:p>
      <w:pPr>
        <w:pStyle w:val="ListParagraph"/>
        <w:numPr>
          <w:ilvl w:val="0"/>
          <w:numId w:val="2"/>
        </w:numPr>
        <w:spacing w:after="60" w:line="276"/>
      </w:pPr>
      <w:r>
        <w:rPr>
          <w:rFonts w:ascii="Arial" w:cs="Arial" w:eastAsia="Arial" w:hAnsi="Arial"/>
          <w:b/>
          <w:bCs/>
          <w:color w:val="202124"/>
          <w:sz w:val="22"/>
          <w:szCs w:val="22"/>
        </w:rPr>
        <w:t xml:space="preserve">R11 — Automated cost optimization: </w:t>
      </w:r>
      <w:r>
        <w:rPr>
          <w:rFonts w:ascii="Arial" w:cs="Arial" w:eastAsia="Arial" w:hAnsi="Arial"/>
          <w:color w:val="202124"/>
          <w:sz w:val="22"/>
          <w:szCs w:val="22"/>
        </w:rPr>
        <w:t xml:space="preserve">Recommend or auto-apply model tier downgrades, node pool right-sizing, and scheduling policies based on cost patterns.</w:t>
      </w:r>
    </w:p>
    <w:p>
      <w:pPr>
        <w:pStyle w:val="ListParagraph"/>
        <w:numPr>
          <w:ilvl w:val="0"/>
          <w:numId w:val="2"/>
        </w:numPr>
        <w:spacing w:after="60" w:line="276"/>
      </w:pPr>
      <w:r>
        <w:rPr>
          <w:rFonts w:ascii="Arial" w:cs="Arial" w:eastAsia="Arial" w:hAnsi="Arial"/>
          <w:b/>
          <w:bCs/>
          <w:color w:val="202124"/>
          <w:sz w:val="22"/>
          <w:szCs w:val="22"/>
        </w:rPr>
        <w:t xml:space="preserve">R12 — Chargeback integration: </w:t>
      </w:r>
      <w:r>
        <w:rPr>
          <w:rFonts w:ascii="Arial" w:cs="Arial" w:eastAsia="Arial" w:hAnsi="Arial"/>
          <w:color w:val="202124"/>
          <w:sz w:val="22"/>
          <w:szCs w:val="22"/>
        </w:rPr>
        <w:t xml:space="preserve">Export cost allocation data to external billing/invoicing systems via webhook or CSV.</w:t>
      </w:r>
    </w:p>
    <w:p>
      <w:pPr>
        <w:pStyle w:val="ListParagraph"/>
        <w:numPr>
          <w:ilvl w:val="0"/>
          <w:numId w:val="2"/>
        </w:numPr>
        <w:spacing w:after="60" w:line="276"/>
      </w:pPr>
      <w:r>
        <w:rPr>
          <w:rFonts w:ascii="Arial" w:cs="Arial" w:eastAsia="Arial" w:hAnsi="Arial"/>
          <w:b/>
          <w:bCs/>
          <w:color w:val="202124"/>
          <w:sz w:val="22"/>
          <w:szCs w:val="22"/>
        </w:rPr>
        <w:t xml:space="preserve">R13 — Multi-cluster aggregation: </w:t>
      </w:r>
      <w:r>
        <w:rPr>
          <w:rFonts w:ascii="Arial" w:cs="Arial" w:eastAsia="Arial" w:hAnsi="Arial"/>
          <w:color w:val="202124"/>
          <w:sz w:val="22"/>
          <w:szCs w:val="22"/>
        </w:rPr>
        <w:t xml:space="preserve">Aggregate cost data across multiple GKE clusters into a single pane of glass.</w:t>
      </w:r>
    </w:p>
    <w:p>
      <w:r>
        <w:br w:type="page"/>
      </w:r>
    </w:p>
    <w:p>
      <w:pPr>
        <w:pStyle w:val="Heading1"/>
        <w:spacing w:after="120" w:before="360"/>
      </w:pPr>
      <w:r>
        <w:rPr>
          <w:rFonts w:ascii="Arial" w:cs="Arial" w:eastAsia="Arial" w:hAnsi="Arial"/>
          <w:b/>
          <w:bCs/>
          <w:color w:val="1A73E8"/>
          <w:sz w:val="32"/>
          <w:szCs w:val="32"/>
        </w:rPr>
        <w:t xml:space="preserve">7. Architecture</w:t>
      </w:r>
    </w:p>
    <w:p>
      <w:pPr>
        <w:pStyle w:val="Heading2"/>
        <w:spacing w:after="120" w:before="240"/>
      </w:pPr>
      <w:r>
        <w:rPr>
          <w:rFonts w:ascii="Arial" w:cs="Arial" w:eastAsia="Arial" w:hAnsi="Arial"/>
          <w:b/>
          <w:bCs/>
          <w:color w:val="202124"/>
          <w:sz w:val="28"/>
          <w:szCs w:val="28"/>
        </w:rPr>
        <w:t xml:space="preserve">7.1 Data Flow</w:t>
      </w:r>
    </w:p>
    <w:p>
      <w:pPr>
        <w:spacing w:after="200" w:before="120"/>
        <w:jc w:val="left"/>
      </w:pPr>
      <w:r>
        <w:rPr>
          <w:rFonts w:ascii="Consolas" w:cs="Consolas" w:eastAsia="Consolas" w:hAnsi="Consolas"/>
          <w:color w:val="202124"/>
          <w:sz w:val="18"/>
          <w:szCs w:val="18"/>
        </w:rPr>
        <w:t xml:space="preserve">GKE Cost Allocation ───▶ BigQuery Export ───▶ Cost Views (SQL)
                                                        │
OTel Collector ─▶ Prometheus (GMP) ───────────▼
  (token metrics)                            cost-tracker (Go)
                                                        │
                                              Prometheus /metrics
                                                        │
                                              Grafana Dashboards
                                                        │
                                         geoffsdesk.com/dashboards</w:t>
      </w:r>
    </w:p>
    <w:p>
      <w:pPr>
        <w:pStyle w:val="Heading2"/>
        <w:spacing w:after="120" w:before="240"/>
      </w:pPr>
      <w:r>
        <w:rPr>
          <w:rFonts w:ascii="Arial" w:cs="Arial" w:eastAsia="Arial" w:hAnsi="Arial"/>
          <w:b/>
          <w:bCs/>
          <w:color w:val="202124"/>
          <w:sz w:val="28"/>
          <w:szCs w:val="28"/>
        </w:rPr>
        <w:t xml:space="preserve">7.2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GCP Service</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BigQuery Views</w:t>
            </w:r>
          </w:p>
        </w:tc>
        <w:tc>
          <w:tcPr>
            <w:tcW w:type="dxa" w:w="46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Join GKE billing export tables with pod label metadata. Produce per-agent, per-model, per-namespace cost rollups.</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1A73E8"/>
                <w:sz w:val="22"/>
                <w:szCs w:val="22"/>
              </w:rPr>
              <w:t xml:space="preserve">BigQuery</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cost-tracker</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Go service that queries BigQuery views on a schedule and exposes results as Prometheus metrics. Stateless, runs as a single replica.</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1A73E8"/>
                <w:sz w:val="22"/>
                <w:szCs w:val="22"/>
              </w:rPr>
              <w:t xml:space="preserve">GKE (Deployment)</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Pricing Config</w:t>
            </w:r>
          </w:p>
        </w:tc>
        <w:tc>
          <w:tcPr>
            <w:tcW w:type="dxa" w:w="46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ConfigMap containing per-model token pricing ($/1M input, $/1M output). Updated manually or via CI when pricing changes.</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1A73E8"/>
                <w:sz w:val="22"/>
                <w:szCs w:val="22"/>
              </w:rPr>
              <w:t xml:space="preserve">ConfigMap</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PrometheusRules</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Alerting rules for budget thresholds, anomaly detection, and cost spike warnings.</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1A73E8"/>
                <w:sz w:val="22"/>
                <w:szCs w:val="22"/>
              </w:rPr>
              <w:t xml:space="preserve">Google Managed Prometheus</w:t>
            </w:r>
          </w:p>
        </w:tc>
      </w:tr>
      <w:tr>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Grafana Dashboards</w:t>
            </w:r>
          </w:p>
        </w:tc>
        <w:tc>
          <w:tcPr>
            <w:tcW w:type="dxa" w:w="46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Pre-built JSON dashboards: Cost Overview, Unit Economics, Budget Tracking. Deployed via ConfigMap provisioning.</w:t>
            </w:r>
          </w:p>
        </w:tc>
        <w:tc>
          <w:tcPr>
            <w:tcW w:type="dxa" w:w="234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1A73E8"/>
                <w:sz w:val="22"/>
                <w:szCs w:val="22"/>
              </w:rPr>
              <w:t xml:space="preserve">Grafana on GKE</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OTel Integration</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Existing Sympozium OTel metrics (tokens, tool invocations, run duration) serve as the source of truth for inference cost calculation.</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1A73E8"/>
                <w:sz w:val="22"/>
                <w:szCs w:val="22"/>
              </w:rPr>
              <w:t xml:space="preserve">OTel Collector</w:t>
            </w:r>
          </w:p>
        </w:tc>
      </w:tr>
    </w:tbl>
    <w:p>
      <w:pPr>
        <w:pStyle w:val="Heading2"/>
        <w:spacing w:after="120" w:before="240"/>
      </w:pPr>
      <w:r>
        <w:rPr>
          <w:rFonts w:ascii="Arial" w:cs="Arial" w:eastAsia="Arial" w:hAnsi="Arial"/>
          <w:b/>
          <w:bCs/>
          <w:color w:val="202124"/>
          <w:sz w:val="28"/>
          <w:szCs w:val="28"/>
        </w:rPr>
        <w:t xml:space="preserve">7.3 Metrics Schema</w:t>
      </w:r>
    </w:p>
    <w:p>
      <w:pPr>
        <w:spacing w:after="120" w:line="276"/>
      </w:pPr>
      <w:r>
        <w:rPr>
          <w:rFonts w:ascii="Arial" w:cs="Arial" w:eastAsia="Arial" w:hAnsi="Arial"/>
          <w:color w:val="202124"/>
          <w:sz w:val="22"/>
          <w:szCs w:val="22"/>
        </w:rPr>
        <w:t xml:space="preserve">The cost-tracker service exposes the following Prometheus metric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c>
          <w:tcPr>
            <w:tcW w:type="dxa" w:w="3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Labels</w:t>
            </w:r>
          </w:p>
        </w:tc>
      </w:tr>
      <w:tr>
        <w:tc>
          <w:tcPr>
            <w:tcW w:type="dxa" w:w="3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sympozium_cost_compute_dollars</w:t>
            </w:r>
          </w:p>
        </w:tc>
        <w:tc>
          <w:tcPr>
            <w:tcW w:type="dxa" w:w="1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Gauge</w:t>
            </w:r>
          </w:p>
        </w:tc>
        <w:tc>
          <w:tcPr>
            <w:tcW w:type="dxa" w:w="4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namespace, agent_persona, node_pool</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sympozium_cost_tokens_dollars</w:t>
            </w:r>
          </w:p>
        </w:tc>
        <w:tc>
          <w:tcPr>
            <w:tcW w:type="dxa" w:w="18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Gauge</w:t>
            </w:r>
          </w:p>
        </w:tc>
        <w:tc>
          <w:tcPr>
            <w:tcW w:type="dxa" w:w="40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namespace, agent_persona, model_tier, model_name</w:t>
            </w:r>
          </w:p>
        </w:tc>
      </w:tr>
      <w:tr>
        <w:tc>
          <w:tcPr>
            <w:tcW w:type="dxa" w:w="3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sympozium_cost_total_dollars</w:t>
            </w:r>
          </w:p>
        </w:tc>
        <w:tc>
          <w:tcPr>
            <w:tcW w:type="dxa" w:w="1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Gauge</w:t>
            </w:r>
          </w:p>
        </w:tc>
        <w:tc>
          <w:tcPr>
            <w:tcW w:type="dxa" w:w="4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namespace, agent_persona</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sympozium_cost_per_run_dollars</w:t>
            </w:r>
          </w:p>
        </w:tc>
        <w:tc>
          <w:tcPr>
            <w:tcW w:type="dxa" w:w="18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Histogram</w:t>
            </w:r>
          </w:p>
        </w:tc>
        <w:tc>
          <w:tcPr>
            <w:tcW w:type="dxa" w:w="40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agent_persona, model_tier, status</w:t>
            </w:r>
          </w:p>
        </w:tc>
      </w:tr>
      <w:tr>
        <w:tc>
          <w:tcPr>
            <w:tcW w:type="dxa" w:w="3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sympozium_budget_remaining_ratio</w:t>
            </w:r>
          </w:p>
        </w:tc>
        <w:tc>
          <w:tcPr>
            <w:tcW w:type="dxa" w:w="1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Gauge</w:t>
            </w:r>
          </w:p>
        </w:tc>
        <w:tc>
          <w:tcPr>
            <w:tcW w:type="dxa" w:w="4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namespace, budget_name</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sympozium_cost_tools_dollars</w:t>
            </w:r>
          </w:p>
        </w:tc>
        <w:tc>
          <w:tcPr>
            <w:tcW w:type="dxa" w:w="18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Gauge</w:t>
            </w:r>
          </w:p>
        </w:tc>
        <w:tc>
          <w:tcPr>
            <w:tcW w:type="dxa" w:w="40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namespace, agent_persona, tool_name</w:t>
            </w:r>
          </w:p>
        </w:tc>
      </w:tr>
    </w:tbl>
    <w:p>
      <w:r>
        <w:br w:type="page"/>
      </w:r>
    </w:p>
    <w:p>
      <w:pPr>
        <w:pStyle w:val="Heading1"/>
        <w:spacing w:after="120" w:before="360"/>
      </w:pPr>
      <w:r>
        <w:rPr>
          <w:rFonts w:ascii="Arial" w:cs="Arial" w:eastAsia="Arial" w:hAnsi="Arial"/>
          <w:b/>
          <w:bCs/>
          <w:color w:val="1A73E8"/>
          <w:sz w:val="32"/>
          <w:szCs w:val="32"/>
        </w:rPr>
        <w:t xml:space="preserve">8. Success Metrics</w:t>
      </w:r>
    </w:p>
    <w:p>
      <w:pPr>
        <w:pStyle w:val="Heading2"/>
        <w:spacing w:after="120" w:before="240"/>
      </w:pPr>
      <w:r>
        <w:rPr>
          <w:rFonts w:ascii="Arial" w:cs="Arial" w:eastAsia="Arial" w:hAnsi="Arial"/>
          <w:b/>
          <w:bCs/>
          <w:color w:val="202124"/>
          <w:sz w:val="28"/>
          <w:szCs w:val="28"/>
        </w:rPr>
        <w:t xml:space="preserve">8.1 Leading Indicators</w:t>
      </w:r>
    </w:p>
    <w:p>
      <w:pPr>
        <w:pStyle w:val="ListParagraph"/>
        <w:numPr>
          <w:ilvl w:val="0"/>
          <w:numId w:val="2"/>
        </w:numPr>
        <w:spacing w:after="60" w:line="276"/>
      </w:pPr>
      <w:r>
        <w:rPr>
          <w:rFonts w:ascii="Arial" w:cs="Arial" w:eastAsia="Arial" w:hAnsi="Arial"/>
          <w:b/>
          <w:bCs/>
          <w:color w:val="202124"/>
          <w:sz w:val="22"/>
          <w:szCs w:val="22"/>
        </w:rPr>
        <w:t xml:space="preserve">Cost attribution coverage: </w:t>
      </w:r>
      <w:r>
        <w:rPr>
          <w:rFonts w:ascii="Arial" w:cs="Arial" w:eastAsia="Arial" w:hAnsi="Arial"/>
          <w:color w:val="202124"/>
          <w:sz w:val="22"/>
          <w:szCs w:val="22"/>
        </w:rPr>
        <w:t xml:space="preserve">≥ 95% of GKE compute cost attributed to a specific agent persona or namespace within 24 hours of deployment.</w:t>
      </w:r>
    </w:p>
    <w:p>
      <w:pPr>
        <w:pStyle w:val="ListParagraph"/>
        <w:numPr>
          <w:ilvl w:val="0"/>
          <w:numId w:val="2"/>
        </w:numPr>
        <w:spacing w:after="60" w:line="276"/>
      </w:pPr>
      <w:r>
        <w:rPr>
          <w:rFonts w:ascii="Arial" w:cs="Arial" w:eastAsia="Arial" w:hAnsi="Arial"/>
          <w:b/>
          <w:bCs/>
          <w:color w:val="202124"/>
          <w:sz w:val="22"/>
          <w:szCs w:val="22"/>
        </w:rPr>
        <w:t xml:space="preserve">Metric freshness: </w:t>
      </w:r>
      <w:r>
        <w:rPr>
          <w:rFonts w:ascii="Arial" w:cs="Arial" w:eastAsia="Arial" w:hAnsi="Arial"/>
          <w:color w:val="202124"/>
          <w:sz w:val="22"/>
          <w:szCs w:val="22"/>
        </w:rPr>
        <w:t xml:space="preserve">Cost metrics updated within 5 minutes of the BigQuery billing export refresh.</w:t>
      </w:r>
    </w:p>
    <w:p>
      <w:pPr>
        <w:pStyle w:val="ListParagraph"/>
        <w:numPr>
          <w:ilvl w:val="0"/>
          <w:numId w:val="2"/>
        </w:numPr>
        <w:spacing w:after="60" w:line="276"/>
      </w:pPr>
      <w:r>
        <w:rPr>
          <w:rFonts w:ascii="Arial" w:cs="Arial" w:eastAsia="Arial" w:hAnsi="Arial"/>
          <w:b/>
          <w:bCs/>
          <w:color w:val="202124"/>
          <w:sz w:val="22"/>
          <w:szCs w:val="22"/>
        </w:rPr>
        <w:t xml:space="preserve">Alert accuracy: </w:t>
      </w:r>
      <w:r>
        <w:rPr>
          <w:rFonts w:ascii="Arial" w:cs="Arial" w:eastAsia="Arial" w:hAnsi="Arial"/>
          <w:color w:val="202124"/>
          <w:sz w:val="22"/>
          <w:szCs w:val="22"/>
        </w:rPr>
        <w:t xml:space="preserve">Budget alerts fire with &lt; 5% false positive rate over a 30-day evaluation window.</w:t>
      </w:r>
    </w:p>
    <w:p>
      <w:pPr>
        <w:pStyle w:val="Heading2"/>
        <w:spacing w:after="120" w:before="240"/>
      </w:pPr>
      <w:r>
        <w:rPr>
          <w:rFonts w:ascii="Arial" w:cs="Arial" w:eastAsia="Arial" w:hAnsi="Arial"/>
          <w:b/>
          <w:bCs/>
          <w:color w:val="202124"/>
          <w:sz w:val="28"/>
          <w:szCs w:val="28"/>
        </w:rPr>
        <w:t xml:space="preserve">8.2 Lagging Indicators</w:t>
      </w:r>
    </w:p>
    <w:p>
      <w:pPr>
        <w:pStyle w:val="ListParagraph"/>
        <w:numPr>
          <w:ilvl w:val="0"/>
          <w:numId w:val="2"/>
        </w:numPr>
        <w:spacing w:after="60" w:line="276"/>
      </w:pPr>
      <w:r>
        <w:rPr>
          <w:rFonts w:ascii="Arial" w:cs="Arial" w:eastAsia="Arial" w:hAnsi="Arial"/>
          <w:b/>
          <w:bCs/>
          <w:color w:val="202124"/>
          <w:sz w:val="22"/>
          <w:szCs w:val="22"/>
        </w:rPr>
        <w:t xml:space="preserve">Cost reduction: </w:t>
      </w:r>
      <w:r>
        <w:rPr>
          <w:rFonts w:ascii="Arial" w:cs="Arial" w:eastAsia="Arial" w:hAnsi="Arial"/>
          <w:color w:val="202124"/>
          <w:sz w:val="22"/>
          <w:szCs w:val="22"/>
        </w:rPr>
        <w:t xml:space="preserve">Platform teams achieve ≥ 15% reduction in per-agent cost within 60 days of gaining cost visibility (measured by cost-per-run trend).</w:t>
      </w:r>
    </w:p>
    <w:p>
      <w:pPr>
        <w:pStyle w:val="ListParagraph"/>
        <w:numPr>
          <w:ilvl w:val="0"/>
          <w:numId w:val="2"/>
        </w:numPr>
        <w:spacing w:after="60" w:line="276"/>
      </w:pPr>
      <w:r>
        <w:rPr>
          <w:rFonts w:ascii="Arial" w:cs="Arial" w:eastAsia="Arial" w:hAnsi="Arial"/>
          <w:b/>
          <w:bCs/>
          <w:color w:val="202124"/>
          <w:sz w:val="22"/>
          <w:szCs w:val="22"/>
        </w:rPr>
        <w:t xml:space="preserve">Budget compliance: </w:t>
      </w:r>
      <w:r>
        <w:rPr>
          <w:rFonts w:ascii="Arial" w:cs="Arial" w:eastAsia="Arial" w:hAnsi="Arial"/>
          <w:color w:val="202124"/>
          <w:sz w:val="22"/>
          <w:szCs w:val="22"/>
        </w:rPr>
        <w:t xml:space="preserve">Zero unplanned budget overruns after budget alerting is enabled (target: 100% compliance rate).</w:t>
      </w:r>
    </w:p>
    <w:p>
      <w:pPr>
        <w:pStyle w:val="ListParagraph"/>
        <w:numPr>
          <w:ilvl w:val="0"/>
          <w:numId w:val="2"/>
        </w:numPr>
        <w:spacing w:after="60" w:line="276"/>
      </w:pPr>
      <w:r>
        <w:rPr>
          <w:rFonts w:ascii="Arial" w:cs="Arial" w:eastAsia="Arial" w:hAnsi="Arial"/>
          <w:b/>
          <w:bCs/>
          <w:color w:val="202124"/>
          <w:sz w:val="22"/>
          <w:szCs w:val="22"/>
        </w:rPr>
        <w:t xml:space="preserve">Showcase engagement: </w:t>
      </w:r>
      <w:r>
        <w:rPr>
          <w:rFonts w:ascii="Arial" w:cs="Arial" w:eastAsia="Arial" w:hAnsi="Arial"/>
          <w:color w:val="202124"/>
          <w:sz w:val="22"/>
          <w:szCs w:val="22"/>
        </w:rPr>
        <w:t xml:space="preserve">FinOps dashboards on geoffsdesk.com receive ≥ 100 unique visitors/month as a leading indicator of portfolio/community interest.</w:t>
      </w:r>
    </w:p>
    <w:p>
      <w:pPr>
        <w:pStyle w:val="Heading1"/>
        <w:spacing w:after="120" w:before="360"/>
      </w:pPr>
      <w:r>
        <w:rPr>
          <w:rFonts w:ascii="Arial" w:cs="Arial" w:eastAsia="Arial" w:hAnsi="Arial"/>
          <w:b/>
          <w:bCs/>
          <w:color w:val="1A73E8"/>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Q1</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What is the GKE Cost Allocation export latency to BigQuery? Does the 1-hour lag in standard billing export affect our 5-minute freshness target?</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Engineering</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F9AB00"/>
                <w:sz w:val="22"/>
                <w:szCs w:val="22"/>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Q2</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Should self-hosted model costs use actual GPU utilization or reserved capacity for cost-per-token calculation?</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Engineering</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F9AB00"/>
                <w:sz w:val="22"/>
                <w:szCs w:val="22"/>
              </w:rPr>
              <w:t xml:space="preserve">Open</w:t>
            </w:r>
          </w:p>
        </w:tc>
      </w:tr>
      <w:tr>
        <w:tc>
          <w:tcPr>
            <w:tcW w:type="dxa" w:w="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Q3</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How do we handle cost attribution for multi-agent collaboration (Agent A delegates to Agent B)?</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Design</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F9AB00"/>
                <w:sz w:val="22"/>
                <w:szCs w:val="22"/>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Q4</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Should budget thresholds be per-calendar-month or rolling 30-day windows?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FinOps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F9AB00"/>
                <w:sz w:val="22"/>
                <w:szCs w:val="22"/>
              </w:rPr>
              <w:t xml:space="preserve">Open</w:t>
            </w:r>
          </w:p>
        </w:tc>
      </w:tr>
      <w:tr>
        <w:tc>
          <w:tcPr>
            <w:tcW w:type="dxa" w:w="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Q5</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Do we need RBAC on cost dashboards (restrict cost visibility by namespace/team)?</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Security</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5F6368"/>
                <w:sz w:val="22"/>
                <w:szCs w:val="22"/>
              </w:rPr>
              <w:t xml:space="preserve">Deferred to v0.2</w:t>
            </w:r>
          </w:p>
        </w:tc>
      </w:tr>
    </w:tbl>
    <w:p>
      <w:pPr>
        <w:pStyle w:val="Heading1"/>
        <w:spacing w:after="120" w:before="360"/>
      </w:pPr>
      <w:r>
        <w:rPr>
          <w:rFonts w:ascii="Arial" w:cs="Arial" w:eastAsia="Arial" w:hAnsi="Arial"/>
          <w:b/>
          <w:bCs/>
          <w:color w:val="1A73E8"/>
          <w:sz w:val="32"/>
          <w:szCs w:val="32"/>
        </w:rPr>
        <w:t xml:space="preserve">10. Timeline &amp;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6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6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Phase 0
MVP</w:t>
            </w:r>
          </w:p>
        </w:tc>
        <w:tc>
          <w:tcPr>
            <w:tcW w:type="dxa" w:w="26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BigQuery views + cost-tracker service + basic Grafana dashboard</w:t>
            </w:r>
          </w:p>
        </w:tc>
        <w:tc>
          <w:tcPr>
            <w:tcW w:type="dxa" w:w="26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R1, R2, R3, R4</w:t>
            </w:r>
          </w:p>
        </w:tc>
        <w:tc>
          <w:tcPr>
            <w:tcW w:type="dxa" w:w="26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Week 1–2</w:t>
            </w:r>
          </w:p>
        </w:tc>
      </w:tr>
      <w:tr>
        <w:tc>
          <w:tcPr>
            <w:tcW w:type="dxa" w:w="1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Phase 1
Alerting</w:t>
            </w:r>
          </w:p>
        </w:tc>
        <w:tc>
          <w:tcPr>
            <w:tcW w:type="dxa" w:w="262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Budget alerting, pricing config, Helm integration</w:t>
            </w:r>
          </w:p>
        </w:tc>
        <w:tc>
          <w:tcPr>
            <w:tcW w:type="dxa" w:w="262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R5, R6</w:t>
            </w:r>
          </w:p>
        </w:tc>
        <w:tc>
          <w:tcPr>
            <w:tcW w:type="dxa" w:w="262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Week 3</w:t>
            </w:r>
          </w:p>
        </w:tc>
      </w:tr>
      <w:tr>
        <w:tc>
          <w:tcPr>
            <w:tcW w:type="dxa" w:w="1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Phase 2
Insights</w:t>
            </w:r>
          </w:p>
        </w:tc>
        <w:tc>
          <w:tcPr>
            <w:tcW w:type="dxa" w:w="26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Anomaly detection, idle cost, REST API</w:t>
            </w:r>
          </w:p>
        </w:tc>
        <w:tc>
          <w:tcPr>
            <w:tcW w:type="dxa" w:w="26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R7, R8, R9, R10</w:t>
            </w:r>
          </w:p>
        </w:tc>
        <w:tc>
          <w:tcPr>
            <w:tcW w:type="dxa" w:w="26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Week 4–6</w:t>
            </w:r>
          </w:p>
        </w:tc>
      </w:tr>
      <w:tr>
        <w:tc>
          <w:tcPr>
            <w:tcW w:type="dxa" w:w="1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1A73E8"/>
                <w:sz w:val="22"/>
                <w:szCs w:val="22"/>
              </w:rPr>
              <w:t xml:space="preserve">Phase 3
Optimize</w:t>
            </w:r>
          </w:p>
        </w:tc>
        <w:tc>
          <w:tcPr>
            <w:tcW w:type="dxa" w:w="262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Auto-optimization, chargeback, multi-cluster</w:t>
            </w:r>
          </w:p>
        </w:tc>
        <w:tc>
          <w:tcPr>
            <w:tcW w:type="dxa" w:w="262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R11, R12, R13</w:t>
            </w:r>
          </w:p>
        </w:tc>
        <w:tc>
          <w:tcPr>
            <w:tcW w:type="dxa" w:w="262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Backlog</w:t>
            </w:r>
          </w:p>
        </w:tc>
      </w:tr>
    </w:tbl>
    <w:p>
      <w:pPr>
        <w:pStyle w:val="Heading2"/>
        <w:spacing w:after="120" w:before="240"/>
      </w:pPr>
      <w:r>
        <w:rPr>
          <w:rFonts w:ascii="Arial" w:cs="Arial" w:eastAsia="Arial" w:hAnsi="Arial"/>
          <w:b/>
          <w:bCs/>
          <w:color w:val="202124"/>
          <w:sz w:val="28"/>
          <w:szCs w:val="28"/>
        </w:rPr>
        <w:t xml:space="preserve">10.1 Dependencies</w:t>
      </w:r>
    </w:p>
    <w:p>
      <w:pPr>
        <w:pStyle w:val="ListParagraph"/>
        <w:numPr>
          <w:ilvl w:val="0"/>
          <w:numId w:val="2"/>
        </w:numPr>
        <w:spacing w:after="60" w:line="276"/>
      </w:pPr>
      <w:r>
        <w:rPr>
          <w:rFonts w:ascii="Arial" w:cs="Arial" w:eastAsia="Arial" w:hAnsi="Arial"/>
          <w:b/>
          <w:bCs/>
          <w:color w:val="202124"/>
          <w:sz w:val="22"/>
          <w:szCs w:val="22"/>
        </w:rPr>
        <w:t xml:space="preserve">GKE Cost Allocation enabled: </w:t>
      </w:r>
      <w:r>
        <w:rPr>
          <w:rFonts w:ascii="Arial" w:cs="Arial" w:eastAsia="Arial" w:hAnsi="Arial"/>
          <w:color w:val="202124"/>
          <w:sz w:val="22"/>
          <w:szCs w:val="22"/>
        </w:rPr>
        <w:t xml:space="preserve">Must be turned on in the GKE cluster settings (already available on GKE Standard/Autopilot).</w:t>
      </w:r>
    </w:p>
    <w:p>
      <w:pPr>
        <w:pStyle w:val="ListParagraph"/>
        <w:numPr>
          <w:ilvl w:val="0"/>
          <w:numId w:val="2"/>
        </w:numPr>
        <w:spacing w:after="60" w:line="276"/>
      </w:pPr>
      <w:r>
        <w:rPr>
          <w:rFonts w:ascii="Arial" w:cs="Arial" w:eastAsia="Arial" w:hAnsi="Arial"/>
          <w:b/>
          <w:bCs/>
          <w:color w:val="202124"/>
          <w:sz w:val="22"/>
          <w:szCs w:val="22"/>
        </w:rPr>
        <w:t xml:space="preserve">BigQuery billing export: </w:t>
      </w:r>
      <w:r>
        <w:rPr>
          <w:rFonts w:ascii="Arial" w:cs="Arial" w:eastAsia="Arial" w:hAnsi="Arial"/>
          <w:color w:val="202124"/>
          <w:sz w:val="22"/>
          <w:szCs w:val="22"/>
        </w:rPr>
        <w:t xml:space="preserve">GCP project must have billing export to BigQuery configured and active.</w:t>
      </w:r>
    </w:p>
    <w:p>
      <w:pPr>
        <w:pStyle w:val="ListParagraph"/>
        <w:numPr>
          <w:ilvl w:val="0"/>
          <w:numId w:val="2"/>
        </w:numPr>
        <w:spacing w:after="60" w:line="276"/>
      </w:pPr>
      <w:r>
        <w:rPr>
          <w:rFonts w:ascii="Arial" w:cs="Arial" w:eastAsia="Arial" w:hAnsi="Arial"/>
          <w:b/>
          <w:bCs/>
          <w:color w:val="202124"/>
          <w:sz w:val="22"/>
          <w:szCs w:val="22"/>
        </w:rPr>
        <w:t xml:space="preserve">Sympozium OTel instrumentation: </w:t>
      </w:r>
      <w:r>
        <w:rPr>
          <w:rFonts w:ascii="Arial" w:cs="Arial" w:eastAsia="Arial" w:hAnsi="Arial"/>
          <w:color w:val="202124"/>
          <w:sz w:val="22"/>
          <w:szCs w:val="22"/>
        </w:rPr>
        <w:t xml:space="preserve">Existing metrics (sympozium.agent.runs, gen_ai.usage.*, sympozium.tool.invocations) must be flowing to Prometheus/GMP.</w:t>
      </w:r>
    </w:p>
    <w:p>
      <w:pPr>
        <w:pStyle w:val="ListParagraph"/>
        <w:numPr>
          <w:ilvl w:val="0"/>
          <w:numId w:val="2"/>
        </w:numPr>
        <w:spacing w:after="60" w:line="276"/>
      </w:pPr>
      <w:r>
        <w:rPr>
          <w:rFonts w:ascii="Arial" w:cs="Arial" w:eastAsia="Arial" w:hAnsi="Arial"/>
          <w:b/>
          <w:bCs/>
          <w:color w:val="202124"/>
          <w:sz w:val="22"/>
          <w:szCs w:val="22"/>
        </w:rPr>
        <w:t xml:space="preserve">Workload Identity: </w:t>
      </w:r>
      <w:r>
        <w:rPr>
          <w:rFonts w:ascii="Arial" w:cs="Arial" w:eastAsia="Arial" w:hAnsi="Arial"/>
          <w:color w:val="202124"/>
          <w:sz w:val="22"/>
          <w:szCs w:val="22"/>
        </w:rPr>
        <w:t xml:space="preserve">cost-tracker service account needs BigQuery Data Viewer role via Workload Identity Federation.</w:t>
      </w:r>
    </w:p>
    <w:p>
      <w:r>
        <w:br w:type="page"/>
      </w:r>
    </w:p>
    <w:p>
      <w:pPr>
        <w:pStyle w:val="Heading1"/>
        <w:spacing w:after="120" w:before="360"/>
      </w:pPr>
      <w:r>
        <w:rPr>
          <w:rFonts w:ascii="Arial" w:cs="Arial" w:eastAsia="Arial" w:hAnsi="Arial"/>
          <w:b/>
          <w:bCs/>
          <w:color w:val="1A73E8"/>
          <w:sz w:val="32"/>
          <w:szCs w:val="32"/>
        </w:rPr>
        <w:t xml:space="preserve">11. Appendix: Existing Sympozium OTel Metrics</w:t>
      </w:r>
    </w:p>
    <w:p>
      <w:pPr>
        <w:spacing w:after="120" w:line="276"/>
      </w:pPr>
      <w:r>
        <w:rPr>
          <w:rFonts w:ascii="Arial" w:cs="Arial" w:eastAsia="Arial" w:hAnsi="Arial"/>
          <w:color w:val="202124"/>
          <w:sz w:val="22"/>
          <w:szCs w:val="22"/>
        </w:rPr>
        <w:t xml:space="preserve">The following metrics are already instrumented in the Sympozium platform and serve as the foundation for cost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60"/>
        <w:gridCol w:w="4300"/>
      </w:tblGrid>
      <w:tr>
        <w:tc>
          <w:tcPr>
            <w:tcW w:type="dxa" w:w="3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in Cost Model</w:t>
            </w:r>
          </w:p>
        </w:tc>
      </w:tr>
      <w:tr>
        <w:tc>
          <w:tcPr>
            <w:tcW w:type="dxa" w:w="3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sympozium.agent.runs</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Counter</w:t>
            </w:r>
          </w:p>
        </w:tc>
        <w:tc>
          <w:tcPr>
            <w:tcW w:type="dxa" w:w="4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Denominator for cost-per-run. Labels: status, model, instance, persona.</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gen_ai.usage.input_tokens</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Counter</w:t>
            </w:r>
          </w:p>
        </w:tc>
        <w:tc>
          <w:tcPr>
            <w:tcW w:type="dxa" w:w="43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Input token count × model pricing = input inference cost.</w:t>
            </w:r>
          </w:p>
        </w:tc>
      </w:tr>
      <w:tr>
        <w:tc>
          <w:tcPr>
            <w:tcW w:type="dxa" w:w="3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gen_ai.usage.output_tokens</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Counter</w:t>
            </w:r>
          </w:p>
        </w:tc>
        <w:tc>
          <w:tcPr>
            <w:tcW w:type="dxa" w:w="4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Output token count × model pricing = output inference cost.</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sympozium.agent.run.duration</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Histogram</w:t>
            </w:r>
          </w:p>
        </w:tc>
        <w:tc>
          <w:tcPr>
            <w:tcW w:type="dxa" w:w="43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Run wall-clock time × pod resource rate = compute cost component.</w:t>
            </w:r>
          </w:p>
        </w:tc>
      </w:tr>
      <w:tr>
        <w:tc>
          <w:tcPr>
            <w:tcW w:type="dxa" w:w="3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sympozium.tool.invocations</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Counter</w:t>
            </w:r>
          </w:p>
        </w:tc>
        <w:tc>
          <w:tcPr>
            <w:tcW w:type="dxa" w:w="4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Tool call count × per-tool cost config = action cost component.</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Consolas" w:cs="Consolas" w:eastAsia="Consolas" w:hAnsi="Consolas"/>
                <w:color w:val="202124"/>
                <w:sz w:val="18"/>
                <w:szCs w:val="18"/>
              </w:rPr>
              <w:t xml:space="preserve">sympozium.skill.duration</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Histogram</w:t>
            </w:r>
          </w:p>
        </w:tc>
        <w:tc>
          <w:tcPr>
            <w:tcW w:type="dxa" w:w="43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Skill execution time for fine-grained cost attribution within a run.</w:t>
            </w:r>
          </w:p>
        </w:tc>
      </w:tr>
    </w:tbl>
    <w:p>
      <w:r>
        <w:br w:type="page"/>
      </w:r>
    </w:p>
    <w:p>
      <w:pPr>
        <w:pStyle w:val="Heading1"/>
        <w:spacing w:after="120" w:before="360"/>
      </w:pPr>
      <w:r>
        <w:rPr>
          <w:rFonts w:ascii="Arial" w:cs="Arial" w:eastAsia="Arial" w:hAnsi="Arial"/>
          <w:b/>
          <w:bCs/>
          <w:color w:val="1A73E8"/>
          <w:sz w:val="32"/>
          <w:szCs w:val="32"/>
        </w:rPr>
        <w:t xml:space="preserve">12. Platform Enhancement Opportunities — GCP Feature Requests</w:t>
      </w:r>
    </w:p>
    <w:p>
      <w:pPr>
        <w:spacing w:after="120" w:line="276"/>
      </w:pPr>
      <w:r>
        <w:rPr>
          <w:rFonts w:ascii="Arial" w:cs="Arial" w:eastAsia="Arial" w:hAnsi="Arial"/>
          <w:color w:val="202124"/>
          <w:sz w:val="22"/>
          <w:szCs w:val="22"/>
        </w:rPr>
        <w:t xml:space="preserve">The following section identifies gaps in GCP’s native billing and cost allocation tooling that, if addressed by Google’s Cloud Billing and GKE teams, would significantly improve the cost observability story for agentic AI workloads. Each item is framed as a feature request that our MVP implementation effectively prototypes. The intent is twofold: proceed with the MVP as specified, and use it as a concrete reference implementation to compel Google to build these capabilities natively.</w:t>
      </w:r>
    </w:p>
    <w:p>
      <w:pPr>
        <w:pStyle w:val="Heading2"/>
        <w:spacing w:after="120" w:before="240"/>
      </w:pPr>
      <w:r>
        <w:rPr>
          <w:rFonts w:ascii="Arial" w:cs="Arial" w:eastAsia="Arial" w:hAnsi="Arial"/>
          <w:b/>
          <w:bCs/>
          <w:color w:val="202124"/>
          <w:sz w:val="28"/>
          <w:szCs w:val="28"/>
        </w:rPr>
        <w:t xml:space="preserve">12.1 Sub-Minute Pod-Level Cost Metering</w:t>
      </w:r>
    </w:p>
    <w:p>
      <w:pPr>
        <w:spacing w:after="120" w:line="276"/>
      </w:pPr>
      <w:r>
        <w:rPr>
          <w:rFonts w:ascii="Arial" w:cs="Arial" w:eastAsia="Arial" w:hAnsi="Arial"/>
          <w:b/>
          <w:bCs/>
          <w:color w:val="202124"/>
          <w:sz w:val="22"/>
          <w:szCs w:val="22"/>
        </w:rPr>
        <w:t xml:space="preserve">Current limitation: </w:t>
      </w:r>
      <w:r>
        <w:rPr>
          <w:rFonts w:ascii="Arial" w:cs="Arial" w:eastAsia="Arial" w:hAnsi="Arial"/>
          <w:color w:val="202124"/>
          <w:sz w:val="22"/>
          <w:szCs w:val="22"/>
        </w:rPr>
        <w:t xml:space="preserve">GKE Cost Allocation exports to BigQuery at hourly rollups scoped to namespaces and labels. This granularity was designed for long-running services where hourly amortization is acceptable.</w:t>
      </w:r>
    </w:p>
    <w:p>
      <w:pPr>
        <w:spacing w:after="120" w:line="276"/>
      </w:pPr>
      <w:r>
        <w:rPr>
          <w:rFonts w:ascii="Arial" w:cs="Arial" w:eastAsia="Arial" w:hAnsi="Arial"/>
          <w:b/>
          <w:bCs/>
          <w:color w:val="202124"/>
          <w:sz w:val="22"/>
          <w:szCs w:val="22"/>
        </w:rPr>
        <w:t xml:space="preserve">What we need: </w:t>
      </w:r>
      <w:r>
        <w:rPr>
          <w:rFonts w:ascii="Arial" w:cs="Arial" w:eastAsia="Arial" w:hAnsi="Arial"/>
          <w:color w:val="202124"/>
          <w:sz w:val="22"/>
          <w:szCs w:val="22"/>
        </w:rPr>
        <w:t xml:space="preserve">Per-pod cost records with start/end timestamps at second-level granularity, joinable by arbitrary pod labels (including run-id, agent-persona, model-tier).</w:t>
      </w:r>
    </w:p>
    <w:p>
      <w:pPr>
        <w:spacing w:after="120" w:line="276"/>
      </w:pPr>
      <w:r>
        <w:rPr>
          <w:rFonts w:ascii="Arial" w:cs="Arial" w:eastAsia="Arial" w:hAnsi="Arial"/>
          <w:b/>
          <w:bCs/>
          <w:color w:val="202124"/>
          <w:sz w:val="22"/>
          <w:szCs w:val="22"/>
        </w:rPr>
        <w:t xml:space="preserve">Why it matters: </w:t>
      </w:r>
      <w:r>
        <w:rPr>
          <w:rFonts w:ascii="Arial" w:cs="Arial" w:eastAsia="Arial" w:hAnsi="Arial"/>
          <w:color w:val="202124"/>
          <w:sz w:val="22"/>
          <w:szCs w:val="22"/>
        </w:rPr>
        <w:t xml:space="preserve">An agent run may last 15 seconds. Hourly rollups force us to interpolate and amortize, introducing inaccuracy and requiring our custom cost-tracker service. Native sub-minute metering would eliminate that entire layer and give every GKE user running batch, job, or agentic workloads accurate per-execution cost data.</w:t>
      </w:r>
    </w:p>
    <w:p>
      <w:pPr>
        <w:spacing w:after="120" w:line="276"/>
      </w:pPr>
      <w:r>
        <w:rPr>
          <w:rFonts w:ascii="Arial" w:cs="Arial" w:eastAsia="Arial" w:hAnsi="Arial"/>
          <w:b/>
          <w:bCs/>
          <w:i/>
          <w:iCs/>
          <w:color w:val="202124"/>
          <w:sz w:val="22"/>
          <w:szCs w:val="22"/>
        </w:rPr>
        <w:t xml:space="preserve">What our MVP does instead: </w:t>
      </w:r>
      <w:r>
        <w:rPr>
          <w:rFonts w:ascii="Arial" w:cs="Arial" w:eastAsia="Arial" w:hAnsi="Arial"/>
          <w:color w:val="202124"/>
          <w:sz w:val="22"/>
          <w:szCs w:val="22"/>
        </w:rPr>
        <w:t xml:space="preserve">The cost-tracker service queries hourly BigQuery data and cross-references with OTel-reported run durations to estimate per-run compute cost. This is a lossy approximation.</w:t>
      </w:r>
    </w:p>
    <w:p>
      <w:pPr>
        <w:pStyle w:val="Heading2"/>
        <w:spacing w:after="120" w:before="240"/>
      </w:pPr>
      <w:r>
        <w:rPr>
          <w:rFonts w:ascii="Arial" w:cs="Arial" w:eastAsia="Arial" w:hAnsi="Arial"/>
          <w:b/>
          <w:bCs/>
          <w:color w:val="202124"/>
          <w:sz w:val="28"/>
          <w:szCs w:val="28"/>
        </w:rPr>
        <w:t xml:space="preserve">12.2 Unified Inference + Compute Cost View</w:t>
      </w:r>
    </w:p>
    <w:p>
      <w:pPr>
        <w:spacing w:after="120" w:line="276"/>
      </w:pPr>
      <w:r>
        <w:rPr>
          <w:rFonts w:ascii="Arial" w:cs="Arial" w:eastAsia="Arial" w:hAnsi="Arial"/>
          <w:b/>
          <w:bCs/>
          <w:color w:val="202124"/>
          <w:sz w:val="22"/>
          <w:szCs w:val="22"/>
        </w:rPr>
        <w:t xml:space="preserve">Current limitation: </w:t>
      </w:r>
      <w:r>
        <w:rPr>
          <w:rFonts w:ascii="Arial" w:cs="Arial" w:eastAsia="Arial" w:hAnsi="Arial"/>
          <w:color w:val="202124"/>
          <w:sz w:val="22"/>
          <w:szCs w:val="22"/>
        </w:rPr>
        <w:t xml:space="preserve">GKE Cost Allocation tracks compute resources (CPU, memory, GPU hours). Vertex AI billing tracks API call costs (tokens consumed, model pricing). These exist in completely separate billing tables with no join key.</w:t>
      </w:r>
    </w:p>
    <w:p>
      <w:pPr>
        <w:spacing w:after="120" w:line="276"/>
      </w:pPr>
      <w:r>
        <w:rPr>
          <w:rFonts w:ascii="Arial" w:cs="Arial" w:eastAsia="Arial" w:hAnsi="Arial"/>
          <w:b/>
          <w:bCs/>
          <w:color w:val="202124"/>
          <w:sz w:val="22"/>
          <w:szCs w:val="22"/>
        </w:rPr>
        <w:t xml:space="preserve">What we need: </w:t>
      </w:r>
      <w:r>
        <w:rPr>
          <w:rFonts w:ascii="Arial" w:cs="Arial" w:eastAsia="Arial" w:hAnsi="Arial"/>
          <w:color w:val="202124"/>
          <w:sz w:val="22"/>
          <w:szCs w:val="22"/>
        </w:rPr>
        <w:t xml:space="preserve">When a GKE pod calls Vertex AI via Workload Identity, the resulting API cost should be tagged with the caller’s pod labels and appear in the same GKE Cost Allocation export. A single BigQuery row should contain both the compute cost and the inference cost.</w:t>
      </w:r>
    </w:p>
    <w:p>
      <w:pPr>
        <w:spacing w:after="120" w:line="276"/>
      </w:pPr>
      <w:r>
        <w:rPr>
          <w:rFonts w:ascii="Arial" w:cs="Arial" w:eastAsia="Arial" w:hAnsi="Arial"/>
          <w:b/>
          <w:bCs/>
          <w:color w:val="202124"/>
          <w:sz w:val="22"/>
          <w:szCs w:val="22"/>
        </w:rPr>
        <w:t xml:space="preserve">Why it matters: </w:t>
      </w:r>
      <w:r>
        <w:rPr>
          <w:rFonts w:ascii="Arial" w:cs="Arial" w:eastAsia="Arial" w:hAnsi="Arial"/>
          <w:color w:val="202124"/>
          <w:sz w:val="22"/>
          <w:szCs w:val="22"/>
        </w:rPr>
        <w:t xml:space="preserve">The entire value proposition of agentic cost tracking is answering “what did this agent run cost in total?” If compute and inference costs live in separate systems with no correlation key, every platform team has to build the join themselves. This is the single highest-impact feature Google could ship for AI-on-GKE cost management.</w:t>
      </w:r>
    </w:p>
    <w:p>
      <w:pPr>
        <w:spacing w:after="120" w:line="276"/>
      </w:pPr>
      <w:r>
        <w:rPr>
          <w:rFonts w:ascii="Arial" w:cs="Arial" w:eastAsia="Arial" w:hAnsi="Arial"/>
          <w:b/>
          <w:bCs/>
          <w:i/>
          <w:iCs/>
          <w:color w:val="202124"/>
          <w:sz w:val="22"/>
          <w:szCs w:val="22"/>
        </w:rPr>
        <w:t xml:space="preserve">What our MVP does instead: </w:t>
      </w:r>
      <w:r>
        <w:rPr>
          <w:rFonts w:ascii="Arial" w:cs="Arial" w:eastAsia="Arial" w:hAnsi="Arial"/>
          <w:color w:val="202124"/>
          <w:sz w:val="22"/>
          <w:szCs w:val="22"/>
        </w:rPr>
        <w:t xml:space="preserve">The cost-tracker service manually joins GKE billing data with OTel token metrics, applies a static pricing ConfigMap, and merges them into a unified sympozium_cost_total_dollars metric.</w:t>
      </w:r>
    </w:p>
    <w:p>
      <w:pPr>
        <w:pStyle w:val="Heading2"/>
        <w:spacing w:after="120" w:before="240"/>
      </w:pPr>
      <w:r>
        <w:rPr>
          <w:rFonts w:ascii="Arial" w:cs="Arial" w:eastAsia="Arial" w:hAnsi="Arial"/>
          <w:b/>
          <w:bCs/>
          <w:color w:val="202124"/>
          <w:sz w:val="28"/>
          <w:szCs w:val="28"/>
        </w:rPr>
        <w:t xml:space="preserve">12.3 Custom Metric-Conditioned Budget Alerts</w:t>
      </w:r>
    </w:p>
    <w:p>
      <w:pPr>
        <w:spacing w:after="120" w:line="276"/>
      </w:pPr>
      <w:r>
        <w:rPr>
          <w:rFonts w:ascii="Arial" w:cs="Arial" w:eastAsia="Arial" w:hAnsi="Arial"/>
          <w:b/>
          <w:bCs/>
          <w:color w:val="202124"/>
          <w:sz w:val="22"/>
          <w:szCs w:val="22"/>
        </w:rPr>
        <w:t xml:space="preserve">Current limitation: </w:t>
      </w:r>
      <w:r>
        <w:rPr>
          <w:rFonts w:ascii="Arial" w:cs="Arial" w:eastAsia="Arial" w:hAnsi="Arial"/>
          <w:color w:val="202124"/>
          <w:sz w:val="22"/>
          <w:szCs w:val="22"/>
        </w:rPr>
        <w:t xml:space="preserve">Cloud Billing budgets alert on dollar thresholds per project, folder, or billing account, with optional label filters. They cannot condition on custom Cloud Monitoring or Prometheus metrics.</w:t>
      </w:r>
    </w:p>
    <w:p>
      <w:pPr>
        <w:spacing w:after="120" w:line="276"/>
      </w:pPr>
      <w:r>
        <w:rPr>
          <w:rFonts w:ascii="Arial" w:cs="Arial" w:eastAsia="Arial" w:hAnsi="Arial"/>
          <w:b/>
          <w:bCs/>
          <w:color w:val="202124"/>
          <w:sz w:val="22"/>
          <w:szCs w:val="22"/>
        </w:rPr>
        <w:t xml:space="preserve">What we need: </w:t>
      </w:r>
      <w:r>
        <w:rPr>
          <w:rFonts w:ascii="Arial" w:cs="Arial" w:eastAsia="Arial" w:hAnsi="Arial"/>
          <w:color w:val="202124"/>
          <w:sz w:val="22"/>
          <w:szCs w:val="22"/>
        </w:rPr>
        <w:t xml:space="preserve">Budget alert policies that support composite conditions combining spend thresholds with custom metric expressions (e.g., “Alert when namespace agents-prod exceeds $500/day AND token output rate exceeds 1M tokens/hour”).</w:t>
      </w:r>
    </w:p>
    <w:p>
      <w:pPr>
        <w:spacing w:after="120" w:line="276"/>
      </w:pPr>
      <w:r>
        <w:rPr>
          <w:rFonts w:ascii="Arial" w:cs="Arial" w:eastAsia="Arial" w:hAnsi="Arial"/>
          <w:b/>
          <w:bCs/>
          <w:color w:val="202124"/>
          <w:sz w:val="22"/>
          <w:szCs w:val="22"/>
        </w:rPr>
        <w:t xml:space="preserve">Why it matters: </w:t>
      </w:r>
      <w:r>
        <w:rPr>
          <w:rFonts w:ascii="Arial" w:cs="Arial" w:eastAsia="Arial" w:hAnsi="Arial"/>
          <w:color w:val="202124"/>
          <w:sz w:val="22"/>
          <w:szCs w:val="22"/>
        </w:rPr>
        <w:t xml:space="preserve">Dollar-only budgets miss the nuance of agentic workloads. Token velocity is often a better leading indicator of cost overrun than dollar spend, because billing data lags by an hour while token metrics are real-time.</w:t>
      </w:r>
    </w:p>
    <w:p>
      <w:pPr>
        <w:spacing w:after="120" w:line="276"/>
      </w:pPr>
      <w:r>
        <w:rPr>
          <w:rFonts w:ascii="Arial" w:cs="Arial" w:eastAsia="Arial" w:hAnsi="Arial"/>
          <w:b/>
          <w:bCs/>
          <w:i/>
          <w:iCs/>
          <w:color w:val="202124"/>
          <w:sz w:val="22"/>
          <w:szCs w:val="22"/>
        </w:rPr>
        <w:t xml:space="preserve">What our MVP does instead: </w:t>
      </w:r>
      <w:r>
        <w:rPr>
          <w:rFonts w:ascii="Arial" w:cs="Arial" w:eastAsia="Arial" w:hAnsi="Arial"/>
          <w:color w:val="202124"/>
          <w:sz w:val="22"/>
          <w:szCs w:val="22"/>
        </w:rPr>
        <w:t xml:space="preserve">We maintain a parallel alerting system using PrometheusRule CRDs that monitor both cost metrics and usage metrics, creating two disconnected alerting systems.</w:t>
      </w:r>
    </w:p>
    <w:p>
      <w:pPr>
        <w:pStyle w:val="Heading2"/>
        <w:spacing w:after="120" w:before="240"/>
      </w:pPr>
      <w:r>
        <w:rPr>
          <w:rFonts w:ascii="Arial" w:cs="Arial" w:eastAsia="Arial" w:hAnsi="Arial"/>
          <w:b/>
          <w:bCs/>
          <w:color w:val="202124"/>
          <w:sz w:val="28"/>
          <w:szCs w:val="28"/>
        </w:rPr>
        <w:t xml:space="preserve">12.4 Ephemeral Workload Cost Attribution Profiles</w:t>
      </w:r>
    </w:p>
    <w:p>
      <w:pPr>
        <w:spacing w:after="120" w:line="276"/>
      </w:pPr>
      <w:r>
        <w:rPr>
          <w:rFonts w:ascii="Arial" w:cs="Arial" w:eastAsia="Arial" w:hAnsi="Arial"/>
          <w:b/>
          <w:bCs/>
          <w:color w:val="202124"/>
          <w:sz w:val="22"/>
          <w:szCs w:val="22"/>
        </w:rPr>
        <w:t xml:space="preserve">Current limitation: </w:t>
      </w:r>
      <w:r>
        <w:rPr>
          <w:rFonts w:ascii="Arial" w:cs="Arial" w:eastAsia="Arial" w:hAnsi="Arial"/>
          <w:color w:val="202124"/>
          <w:sz w:val="22"/>
          <w:szCs w:val="22"/>
        </w:rPr>
        <w:t xml:space="preserve">GKE Cost Allocation assumes workloads are relatively stable Deployments or StatefulSets. There is no concept of a “run” or “execution” as a cost attribution unit.</w:t>
      </w:r>
    </w:p>
    <w:p>
      <w:pPr>
        <w:spacing w:after="120" w:line="276"/>
      </w:pPr>
      <w:r>
        <w:rPr>
          <w:rFonts w:ascii="Arial" w:cs="Arial" w:eastAsia="Arial" w:hAnsi="Arial"/>
          <w:b/>
          <w:bCs/>
          <w:color w:val="202124"/>
          <w:sz w:val="22"/>
          <w:szCs w:val="22"/>
        </w:rPr>
        <w:t xml:space="preserve">What we need: </w:t>
      </w:r>
      <w:r>
        <w:rPr>
          <w:rFonts w:ascii="Arial" w:cs="Arial" w:eastAsia="Arial" w:hAnsi="Arial"/>
          <w:color w:val="202124"/>
          <w:sz w:val="22"/>
          <w:szCs w:val="22"/>
        </w:rPr>
        <w:t xml:space="preserve">A GKE Cost Allocation mode where users can declare an ephemeral workload profile: group all costs for pods matching a label (e.g., run-id=X) into a single cost record with start time, end time, and total resource consumption.</w:t>
      </w:r>
    </w:p>
    <w:p>
      <w:pPr>
        <w:spacing w:after="120" w:line="276"/>
      </w:pPr>
      <w:r>
        <w:rPr>
          <w:rFonts w:ascii="Arial" w:cs="Arial" w:eastAsia="Arial" w:hAnsi="Arial"/>
          <w:b/>
          <w:bCs/>
          <w:color w:val="202124"/>
          <w:sz w:val="22"/>
          <w:szCs w:val="22"/>
        </w:rPr>
        <w:t xml:space="preserve">Why it matters: </w:t>
      </w:r>
      <w:r>
        <w:rPr>
          <w:rFonts w:ascii="Arial" w:cs="Arial" w:eastAsia="Arial" w:hAnsi="Arial"/>
          <w:color w:val="202124"/>
          <w:sz w:val="22"/>
          <w:szCs w:val="22"/>
        </w:rPr>
        <w:t xml:space="preserve">This is the fundamental abstraction mismatch. Kubernetes thinks in Deployments; agentic platforms think in Runs. Every AI orchestration platform (Sympozium, LangGraph, CrewAI, AutoGen) needs to answer “how much did this run cost?” Making this native to GKE would position it as the definitive platform for running AI agents.</w:t>
      </w:r>
    </w:p>
    <w:p>
      <w:pPr>
        <w:spacing w:after="120" w:line="276"/>
      </w:pPr>
      <w:r>
        <w:rPr>
          <w:rFonts w:ascii="Arial" w:cs="Arial" w:eastAsia="Arial" w:hAnsi="Arial"/>
          <w:b/>
          <w:bCs/>
          <w:i/>
          <w:iCs/>
          <w:color w:val="202124"/>
          <w:sz w:val="22"/>
          <w:szCs w:val="22"/>
        </w:rPr>
        <w:t xml:space="preserve">What our MVP does instead: </w:t>
      </w:r>
      <w:r>
        <w:rPr>
          <w:rFonts w:ascii="Arial" w:cs="Arial" w:eastAsia="Arial" w:hAnsi="Arial"/>
          <w:color w:val="202124"/>
          <w:sz w:val="22"/>
          <w:szCs w:val="22"/>
        </w:rPr>
        <w:t xml:space="preserve">The cost-tracker service correlates pod lifecycle events with run-id labels and aggregates hourly billing data into per-run estimates.</w:t>
      </w:r>
    </w:p>
    <w:p>
      <w:pPr>
        <w:pStyle w:val="Heading2"/>
        <w:spacing w:after="120" w:before="240"/>
      </w:pPr>
      <w:r>
        <w:rPr>
          <w:rFonts w:ascii="Arial" w:cs="Arial" w:eastAsia="Arial" w:hAnsi="Arial"/>
          <w:b/>
          <w:bCs/>
          <w:color w:val="202124"/>
          <w:sz w:val="28"/>
          <w:szCs w:val="28"/>
        </w:rPr>
        <w:t xml:space="preserve">12.5 Vertex AI Caller Identity in Billing Records</w:t>
      </w:r>
    </w:p>
    <w:p>
      <w:pPr>
        <w:spacing w:after="120" w:line="276"/>
      </w:pPr>
      <w:r>
        <w:rPr>
          <w:rFonts w:ascii="Arial" w:cs="Arial" w:eastAsia="Arial" w:hAnsi="Arial"/>
          <w:b/>
          <w:bCs/>
          <w:color w:val="202124"/>
          <w:sz w:val="22"/>
          <w:szCs w:val="22"/>
        </w:rPr>
        <w:t xml:space="preserve">Current limitation: </w:t>
      </w:r>
      <w:r>
        <w:rPr>
          <w:rFonts w:ascii="Arial" w:cs="Arial" w:eastAsia="Arial" w:hAnsi="Arial"/>
          <w:color w:val="202124"/>
          <w:sz w:val="22"/>
          <w:szCs w:val="22"/>
        </w:rPr>
        <w:t xml:space="preserve">When a pod calls Vertex AI, the billing record shows the project, model, and token count—but not which service account, pod, or workload initiated the call.</w:t>
      </w:r>
    </w:p>
    <w:p>
      <w:pPr>
        <w:spacing w:after="120" w:line="276"/>
      </w:pPr>
      <w:r>
        <w:rPr>
          <w:rFonts w:ascii="Arial" w:cs="Arial" w:eastAsia="Arial" w:hAnsi="Arial"/>
          <w:b/>
          <w:bCs/>
          <w:color w:val="202124"/>
          <w:sz w:val="22"/>
          <w:szCs w:val="22"/>
        </w:rPr>
        <w:t xml:space="preserve">What we need: </w:t>
      </w:r>
      <w:r>
        <w:rPr>
          <w:rFonts w:ascii="Arial" w:cs="Arial" w:eastAsia="Arial" w:hAnsi="Arial"/>
          <w:color w:val="202124"/>
          <w:sz w:val="22"/>
          <w:szCs w:val="22"/>
        </w:rPr>
        <w:t xml:space="preserve">Vertex AI billing records should include the caller’s Kubernetes service account name, namespace, and optionally pod labels (propagated via Workload Identity metadata).</w:t>
      </w:r>
    </w:p>
    <w:p>
      <w:pPr>
        <w:spacing w:after="120" w:line="276"/>
      </w:pPr>
      <w:r>
        <w:rPr>
          <w:rFonts w:ascii="Arial" w:cs="Arial" w:eastAsia="Arial" w:hAnsi="Arial"/>
          <w:b/>
          <w:bCs/>
          <w:color w:val="202124"/>
          <w:sz w:val="22"/>
          <w:szCs w:val="22"/>
        </w:rPr>
        <w:t xml:space="preserve">Why it matters: </w:t>
      </w:r>
      <w:r>
        <w:rPr>
          <w:rFonts w:ascii="Arial" w:cs="Arial" w:eastAsia="Arial" w:hAnsi="Arial"/>
          <w:color w:val="202124"/>
          <w:sz w:val="22"/>
          <w:szCs w:val="22"/>
        </w:rPr>
        <w:t xml:space="preserve">In a multi-tenant agent platform, dozens of different agent personas may call Vertex AI from the same project. Without caller identity, there’s no way to attribute inference costs to specific agents using billing data alone.</w:t>
      </w:r>
    </w:p>
    <w:p>
      <w:pPr>
        <w:spacing w:after="120" w:line="276"/>
      </w:pPr>
      <w:r>
        <w:rPr>
          <w:rFonts w:ascii="Arial" w:cs="Arial" w:eastAsia="Arial" w:hAnsi="Arial"/>
          <w:b/>
          <w:bCs/>
          <w:i/>
          <w:iCs/>
          <w:color w:val="202124"/>
          <w:sz w:val="22"/>
          <w:szCs w:val="22"/>
        </w:rPr>
        <w:t xml:space="preserve">What our MVP does instead: </w:t>
      </w:r>
      <w:r>
        <w:rPr>
          <w:rFonts w:ascii="Arial" w:cs="Arial" w:eastAsia="Arial" w:hAnsi="Arial"/>
          <w:color w:val="202124"/>
          <w:sz w:val="22"/>
          <w:szCs w:val="22"/>
        </w:rPr>
        <w:t xml:space="preserve">Sympozium instruments every LLM call with OTel metrics tagged with agent persona and model tier. The cost-tracker applies pricing tables to these self-reported metrics, creating a trust gap between calculated cost and actual billed cost.</w:t>
      </w:r>
    </w:p>
    <w:p>
      <w:pPr>
        <w:pStyle w:val="Heading2"/>
        <w:spacing w:after="120" w:before="240"/>
      </w:pPr>
      <w:r>
        <w:rPr>
          <w:rFonts w:ascii="Arial" w:cs="Arial" w:eastAsia="Arial" w:hAnsi="Arial"/>
          <w:b/>
          <w:bCs/>
          <w:color w:val="202124"/>
          <w:sz w:val="28"/>
          <w:szCs w:val="28"/>
        </w:rPr>
        <w:t xml:space="preserve">12.6 Summary: The Opportunity for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343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Our MVP</w:t>
            </w:r>
          </w:p>
        </w:tc>
        <w:tc>
          <w:tcPr>
            <w:tcW w:type="dxa" w:w="343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 to GCP Ecosystem</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Sub-minute pod cost metering</w:t>
            </w:r>
          </w:p>
        </w:tc>
        <w:tc>
          <w:tcPr>
            <w:tcW w:type="dxa" w:w="34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Eliminates cost-tracker interpolation logic</w:t>
            </w:r>
          </w:p>
        </w:tc>
        <w:tc>
          <w:tcPr>
            <w:tcW w:type="dxa" w:w="34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Accurate cost tracking for all ephemeral workloads (Jobs, CronJobs, Knative, agents)</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Unified inference + compute billing</w:t>
            </w:r>
          </w:p>
        </w:tc>
        <w:tc>
          <w:tcPr>
            <w:tcW w:type="dxa" w:w="34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Eliminates manual join between billing tables and OTel metrics</w:t>
            </w:r>
          </w:p>
        </w:tc>
        <w:tc>
          <w:tcPr>
            <w:tcW w:type="dxa" w:w="34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Single pane of glass for AI workload economics across all GKE customers</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Custom metric budget alerts</w:t>
            </w:r>
          </w:p>
        </w:tc>
        <w:tc>
          <w:tcPr>
            <w:tcW w:type="dxa" w:w="34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Consolidates two alerting systems into one</w:t>
            </w:r>
          </w:p>
        </w:tc>
        <w:tc>
          <w:tcPr>
            <w:tcW w:type="dxa" w:w="34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Positions Cloud Billing as AI-aware, not just spend-aware</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Ephemeral workload cost profiles</w:t>
            </w:r>
          </w:p>
        </w:tc>
        <w:tc>
          <w:tcPr>
            <w:tcW w:type="dxa" w:w="34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Eliminates pod-to-run aggregation logic</w:t>
            </w:r>
          </w:p>
        </w:tc>
        <w:tc>
          <w:tcPr>
            <w:tcW w:type="dxa" w:w="343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120" w:line="276"/>
            </w:pPr>
            <w:r>
              <w:rPr>
                <w:rFonts w:ascii="Arial" w:cs="Arial" w:eastAsia="Arial" w:hAnsi="Arial"/>
                <w:color w:val="202124"/>
                <w:sz w:val="22"/>
                <w:szCs w:val="22"/>
              </w:rPr>
              <w:t xml:space="preserve">Makes GKE the best platform for running AI agent frameworks</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b/>
                <w:bCs/>
                <w:color w:val="202124"/>
                <w:sz w:val="22"/>
                <w:szCs w:val="22"/>
              </w:rPr>
              <w:t xml:space="preserve">Vertex AI caller identity</w:t>
            </w:r>
          </w:p>
        </w:tc>
        <w:tc>
          <w:tcPr>
            <w:tcW w:type="dxa" w:w="34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Eliminates self-reported token cost approximation</w:t>
            </w:r>
          </w:p>
        </w:tc>
        <w:tc>
          <w:tcPr>
            <w:tcW w:type="dxa" w:w="343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pPr>
              <w:spacing w:after="120" w:line="276"/>
            </w:pPr>
            <w:r>
              <w:rPr>
                <w:rFonts w:ascii="Arial" w:cs="Arial" w:eastAsia="Arial" w:hAnsi="Arial"/>
                <w:color w:val="202124"/>
                <w:sz w:val="22"/>
                <w:szCs w:val="22"/>
              </w:rPr>
              <w:t xml:space="preserve">Enables trustworthy multi-tenant AI cost attribution</w:t>
            </w:r>
          </w:p>
        </w:tc>
      </w:tr>
    </w:tbl>
    <w:p>
      <w:pPr>
        <w:spacing w:after="120" w:line="276"/>
      </w:pPr>
      <w:r>
        <w:rPr>
          <w:rFonts w:ascii="Arial" w:cs="Arial" w:eastAsia="Arial" w:hAnsi="Arial"/>
          <w:color w:val="202124"/>
          <w:sz w:val="22"/>
          <w:szCs w:val="22"/>
        </w:rPr>
        <w:t xml:space="preserve">Each of these features would reduce the complexity of our FinOps Agent while simultaneously making GKE more compelling for the rapidly growing AI agent orchestration market. The MVP we’re building serves as a proof of concept that this demand exists and that the integration points are viable.</w:t>
      </w:r>
    </w:p>
    <w:p>
      <w:pPr>
        <w:spacing w:before="600"/>
      </w:pPr>
    </w:p>
    <w:p>
      <w:pPr>
        <w:pBdr>
          <w:top w:val="single" w:color="1A73E8" w:sz="4" w:space="1"/>
        </w:pBdr>
        <w:spacing w:after="200" w:before="200"/>
        <w:jc w:val="center"/>
      </w:pPr>
      <w:r>
        <w:rPr>
          <w:rFonts w:ascii="Arial" w:cs="Arial" w:eastAsia="Arial" w:hAnsi="Arial"/>
          <w:i/>
          <w:iCs/>
          <w:color w:val="5F6368"/>
          <w:sz w:val="20"/>
          <w:szCs w:val="20"/>
        </w:rPr>
        <w:t xml:space="preserve">End of Document — v0.1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8"/>
        <w:szCs w:val="18"/>
      </w:rPr>
      <w:t xml:space="preserve">Page </w:t>
    </w:r>
    <w:r>
      <w:rPr>
        <w:rFonts w:ascii="Arial" w:cs="Arial" w:eastAsia="Arial" w:hAnsi="Arial"/>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tabs>
        <w:tab w:val="right" w:pos="9026"/>
      </w:tabs>
    </w:pPr>
    <w:r>
      <w:rPr>
        <w:rFonts w:ascii="Arial" w:cs="Arial" w:eastAsia="Arial" w:hAnsi="Arial"/>
        <w:color w:val="5F6368"/>
        <w:sz w:val="18"/>
        <w:szCs w:val="18"/>
      </w:rPr>
      <w:t xml:space="preserve">Sympozium FinOps Agent PRD</w:t>
    </w:r>
    <w:r>
      <w:rPr>
        <w:rFonts w:ascii="Arial" w:cs="Arial" w:eastAsia="Arial" w:hAnsi="Arial"/>
        <w:color w:val="5F6368"/>
        <w:sz w:val="18"/>
        <w:szCs w:val="18"/>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US-%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02124"/>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021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2026-03-15T20:02:52.788Z</dcterms:created>
  <dcterms:modified xsi:type="dcterms:W3CDTF">2026-03-15T20:02:52.788Z</dcterms:modified>
</cp:coreProperties>
</file>

<file path=docProps/custom.xml><?xml version="1.0" encoding="utf-8"?>
<Properties xmlns="http://schemas.openxmlformats.org/officeDocument/2006/custom-properties" xmlns:vt="http://schemas.openxmlformats.org/officeDocument/2006/docPropsVTypes"/>
</file>