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word/charts/chart10.xml" ContentType="application/vnd.openxmlformats-officedocument.drawingml.chart+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glossary/document.xml" ContentType="application/vnd.openxmlformats-officedocument.wordprocessingml.document.glossary+xml"/>
  <Override PartName="/word/charts/chart4.xml" ContentType="application/vnd.openxmlformats-officedocument.drawingml.chart+xml"/>
  <Override PartName="/word/charts/chart5.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18824344"/>
        <w:docPartObj>
          <w:docPartGallery w:val="Cover Pages"/>
          <w:docPartUnique/>
        </w:docPartObj>
      </w:sdtPr>
      <w:sdtEndPr>
        <w:rPr>
          <w:rFonts w:ascii="Times New Roman" w:eastAsiaTheme="minorHAnsi" w:hAnsi="Times New Roman" w:cs="Times New Roman"/>
          <w:caps w:val="0"/>
          <w:sz w:val="24"/>
          <w:szCs w:val="24"/>
          <w:u w:val="single"/>
        </w:rPr>
      </w:sdtEndPr>
      <w:sdtContent>
        <w:tbl>
          <w:tblPr>
            <w:tblW w:w="5000" w:type="pct"/>
            <w:jc w:val="center"/>
            <w:tblLook w:val="04A0"/>
          </w:tblPr>
          <w:tblGrid>
            <w:gridCol w:w="9576"/>
          </w:tblGrid>
          <w:tr w:rsidR="00E044A9">
            <w:trPr>
              <w:trHeight w:val="2880"/>
              <w:jc w:val="center"/>
            </w:trPr>
            <w:sdt>
              <w:sdtPr>
                <w:rPr>
                  <w:rFonts w:asciiTheme="majorHAnsi" w:eastAsiaTheme="majorEastAsia" w:hAnsiTheme="majorHAnsi" w:cstheme="majorBidi"/>
                  <w:caps/>
                </w:rPr>
                <w:alias w:val="Company"/>
                <w:id w:val="15524243"/>
                <w:placeholder>
                  <w:docPart w:val="A9B0E2823062486AB798EB0870235515"/>
                </w:placeholder>
                <w:dataBinding w:prefixMappings="xmlns:ns0='http://schemas.openxmlformats.org/officeDocument/2006/extended-properties'" w:xpath="/ns0:Properties[1]/ns0:Company[1]" w:storeItemID="{6668398D-A668-4E3E-A5EB-62B293D839F1}"/>
                <w:text/>
              </w:sdtPr>
              <w:sdtContent>
                <w:tc>
                  <w:tcPr>
                    <w:tcW w:w="5000" w:type="pct"/>
                  </w:tcPr>
                  <w:p w:rsidR="00E044A9" w:rsidRDefault="00E044A9">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 xml:space="preserve"> </w:t>
                    </w:r>
                  </w:p>
                </w:tc>
              </w:sdtContent>
            </w:sdt>
          </w:tr>
          <w:tr w:rsidR="00E044A9">
            <w:trPr>
              <w:trHeight w:val="1440"/>
              <w:jc w:val="center"/>
            </w:trPr>
            <w:sdt>
              <w:sdtPr>
                <w:rPr>
                  <w:rFonts w:asciiTheme="majorHAnsi" w:eastAsiaTheme="majorEastAsia" w:hAnsiTheme="majorHAnsi" w:cstheme="majorBidi"/>
                  <w:sz w:val="72"/>
                  <w:szCs w:val="72"/>
                </w:rPr>
                <w:alias w:val="Title"/>
                <w:id w:val="15524250"/>
                <w:placeholder>
                  <w:docPart w:val="40C110F8825C45C085B453E581F82986"/>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E044A9" w:rsidRPr="00B875E5" w:rsidRDefault="00E044A9" w:rsidP="00E044A9">
                    <w:pPr>
                      <w:pStyle w:val="NoSpacing"/>
                      <w:jc w:val="center"/>
                      <w:rPr>
                        <w:rFonts w:asciiTheme="majorHAnsi" w:eastAsiaTheme="majorEastAsia" w:hAnsiTheme="majorHAnsi" w:cstheme="majorBidi"/>
                        <w:sz w:val="72"/>
                        <w:szCs w:val="72"/>
                      </w:rPr>
                    </w:pPr>
                    <w:r w:rsidRPr="00B875E5">
                      <w:rPr>
                        <w:rFonts w:asciiTheme="majorHAnsi" w:eastAsiaTheme="majorEastAsia" w:hAnsiTheme="majorHAnsi" w:cstheme="majorBidi"/>
                        <w:sz w:val="72"/>
                        <w:szCs w:val="72"/>
                      </w:rPr>
                      <w:t>Factors Affecting Crime Rate In the United States</w:t>
                    </w:r>
                  </w:p>
                </w:tc>
              </w:sdtContent>
            </w:sdt>
          </w:tr>
          <w:tr w:rsidR="00E044A9">
            <w:trPr>
              <w:trHeight w:val="720"/>
              <w:jc w:val="center"/>
            </w:trPr>
            <w:sdt>
              <w:sdtPr>
                <w:rPr>
                  <w:rFonts w:asciiTheme="majorHAnsi" w:eastAsiaTheme="majorEastAsia" w:hAnsiTheme="majorHAnsi" w:cstheme="majorBidi"/>
                  <w:sz w:val="44"/>
                  <w:szCs w:val="44"/>
                </w:rPr>
                <w:alias w:val="Subtitle"/>
                <w:id w:val="15524255"/>
                <w:placeholder>
                  <w:docPart w:val="9A3A1A257438498C8D017AF6F27C1562"/>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E044A9" w:rsidRDefault="00B875E5" w:rsidP="00B875E5">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Final Research Project</w:t>
                    </w:r>
                  </w:p>
                </w:tc>
              </w:sdtContent>
            </w:sdt>
          </w:tr>
          <w:tr w:rsidR="00E044A9">
            <w:trPr>
              <w:trHeight w:val="360"/>
              <w:jc w:val="center"/>
            </w:trPr>
            <w:tc>
              <w:tcPr>
                <w:tcW w:w="5000" w:type="pct"/>
                <w:vAlign w:val="center"/>
              </w:tcPr>
              <w:p w:rsidR="00E044A9" w:rsidRDefault="00E044A9">
                <w:pPr>
                  <w:pStyle w:val="NoSpacing"/>
                  <w:jc w:val="center"/>
                </w:pPr>
              </w:p>
            </w:tc>
          </w:tr>
          <w:tr w:rsidR="00E044A9">
            <w:trPr>
              <w:trHeight w:val="360"/>
              <w:jc w:val="center"/>
            </w:trPr>
            <w:sdt>
              <w:sdtPr>
                <w:rPr>
                  <w:b/>
                  <w:bCs/>
                  <w:sz w:val="28"/>
                  <w:szCs w:val="28"/>
                </w:rPr>
                <w:alias w:val="Author"/>
                <w:id w:val="15524260"/>
                <w:placeholder>
                  <w:docPart w:val="11F2BE9213E84A51867AD272788AE796"/>
                </w:placeholder>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E044A9" w:rsidRPr="00B875E5" w:rsidRDefault="00B875E5" w:rsidP="00B875E5">
                    <w:pPr>
                      <w:pStyle w:val="NoSpacing"/>
                      <w:jc w:val="center"/>
                      <w:rPr>
                        <w:b/>
                        <w:bCs/>
                        <w:sz w:val="28"/>
                        <w:szCs w:val="28"/>
                      </w:rPr>
                    </w:pPr>
                    <w:r w:rsidRPr="00B875E5">
                      <w:rPr>
                        <w:b/>
                        <w:bCs/>
                        <w:sz w:val="28"/>
                        <w:szCs w:val="28"/>
                      </w:rPr>
                      <w:t>Henry Reissig</w:t>
                    </w:r>
                  </w:p>
                </w:tc>
              </w:sdtContent>
            </w:sdt>
          </w:tr>
          <w:tr w:rsidR="00E044A9">
            <w:trPr>
              <w:trHeight w:val="360"/>
              <w:jc w:val="center"/>
            </w:trPr>
            <w:sdt>
              <w:sdtPr>
                <w:rPr>
                  <w:b/>
                  <w:bCs/>
                  <w:sz w:val="28"/>
                  <w:szCs w:val="28"/>
                </w:rPr>
                <w:alias w:val="Date"/>
                <w:id w:val="516659546"/>
                <w:placeholder>
                  <w:docPart w:val="D0D94CE4563542A48BEC23E155E91461"/>
                </w:placeholder>
                <w:dataBinding w:prefixMappings="xmlns:ns0='http://schemas.microsoft.com/office/2006/coverPageProps'" w:xpath="/ns0:CoverPageProperties[1]/ns0:PublishDate[1]" w:storeItemID="{55AF091B-3C7A-41E3-B477-F2FDAA23CFDA}"/>
                <w:date w:fullDate="2009-12-10T00:00:00Z">
                  <w:dateFormat w:val="M/d/yyyy"/>
                  <w:lid w:val="en-US"/>
                  <w:storeMappedDataAs w:val="dateTime"/>
                  <w:calendar w:val="gregorian"/>
                </w:date>
              </w:sdtPr>
              <w:sdtContent>
                <w:tc>
                  <w:tcPr>
                    <w:tcW w:w="5000" w:type="pct"/>
                    <w:vAlign w:val="center"/>
                  </w:tcPr>
                  <w:p w:rsidR="00E044A9" w:rsidRPr="00B875E5" w:rsidRDefault="00B875E5" w:rsidP="00B875E5">
                    <w:pPr>
                      <w:pStyle w:val="NoSpacing"/>
                      <w:jc w:val="center"/>
                      <w:rPr>
                        <w:b/>
                        <w:bCs/>
                        <w:sz w:val="28"/>
                        <w:szCs w:val="28"/>
                      </w:rPr>
                    </w:pPr>
                    <w:r w:rsidRPr="00B875E5">
                      <w:rPr>
                        <w:b/>
                        <w:bCs/>
                        <w:sz w:val="28"/>
                        <w:szCs w:val="28"/>
                      </w:rPr>
                      <w:t>12/10/2009</w:t>
                    </w:r>
                  </w:p>
                </w:tc>
              </w:sdtContent>
            </w:sdt>
          </w:tr>
        </w:tbl>
        <w:p w:rsidR="00E044A9" w:rsidRDefault="00E044A9"/>
        <w:p w:rsidR="00E044A9" w:rsidRDefault="00E044A9"/>
        <w:tbl>
          <w:tblPr>
            <w:tblpPr w:leftFromText="187" w:rightFromText="187" w:horzAnchor="margin" w:tblpXSpec="center" w:tblpYSpec="bottom"/>
            <w:tblW w:w="5000" w:type="pct"/>
            <w:tblLook w:val="04A0"/>
          </w:tblPr>
          <w:tblGrid>
            <w:gridCol w:w="9576"/>
          </w:tblGrid>
          <w:tr w:rsidR="00E044A9">
            <w:tc>
              <w:tcPr>
                <w:tcW w:w="5000" w:type="pct"/>
              </w:tcPr>
              <w:p w:rsidR="00E044A9" w:rsidRDefault="00E044A9">
                <w:pPr>
                  <w:pStyle w:val="NoSpacing"/>
                </w:pPr>
              </w:p>
            </w:tc>
          </w:tr>
        </w:tbl>
        <w:p w:rsidR="00E044A9" w:rsidRDefault="00E044A9"/>
        <w:p w:rsidR="00E044A9" w:rsidRDefault="00E044A9">
          <w:pPr>
            <w:rPr>
              <w:rFonts w:ascii="Times New Roman" w:hAnsi="Times New Roman" w:cs="Times New Roman"/>
              <w:sz w:val="24"/>
              <w:szCs w:val="24"/>
              <w:u w:val="single"/>
            </w:rPr>
          </w:pPr>
          <w:r>
            <w:rPr>
              <w:rFonts w:ascii="Times New Roman" w:hAnsi="Times New Roman" w:cs="Times New Roman"/>
              <w:sz w:val="24"/>
              <w:szCs w:val="24"/>
              <w:u w:val="single"/>
            </w:rPr>
            <w:br w:type="page"/>
          </w:r>
        </w:p>
      </w:sdtContent>
    </w:sdt>
    <w:p w:rsidR="004A31C4" w:rsidRPr="00314ADA" w:rsidRDefault="007A391A" w:rsidP="00C06648">
      <w:pPr>
        <w:spacing w:line="480" w:lineRule="auto"/>
        <w:jc w:val="center"/>
        <w:rPr>
          <w:rFonts w:ascii="Times New Roman" w:hAnsi="Times New Roman" w:cs="Times New Roman"/>
          <w:sz w:val="24"/>
          <w:szCs w:val="24"/>
          <w:u w:val="single"/>
        </w:rPr>
      </w:pPr>
      <w:r w:rsidRPr="00314ADA">
        <w:rPr>
          <w:rFonts w:ascii="Times New Roman" w:hAnsi="Times New Roman" w:cs="Times New Roman"/>
          <w:sz w:val="24"/>
          <w:szCs w:val="24"/>
          <w:u w:val="single"/>
        </w:rPr>
        <w:lastRenderedPageBreak/>
        <w:t>Introduction</w:t>
      </w:r>
    </w:p>
    <w:p w:rsidR="003054BD" w:rsidRDefault="00624EC2" w:rsidP="00624EC2">
      <w:pPr>
        <w:spacing w:line="480" w:lineRule="auto"/>
        <w:rPr>
          <w:rFonts w:ascii="Times New Roman" w:hAnsi="Times New Roman" w:cs="Times New Roman"/>
          <w:sz w:val="24"/>
          <w:szCs w:val="24"/>
        </w:rPr>
      </w:pPr>
      <w:r w:rsidRPr="00314ADA">
        <w:rPr>
          <w:rFonts w:ascii="Times New Roman" w:hAnsi="Times New Roman" w:cs="Times New Roman"/>
          <w:sz w:val="24"/>
          <w:szCs w:val="24"/>
        </w:rPr>
        <w:t>The FBI defines violent crime as a combination of forcible rape</w:t>
      </w:r>
      <w:r w:rsidR="008D613B" w:rsidRPr="00314ADA">
        <w:rPr>
          <w:rFonts w:ascii="Times New Roman" w:hAnsi="Times New Roman" w:cs="Times New Roman"/>
          <w:sz w:val="24"/>
          <w:szCs w:val="24"/>
        </w:rPr>
        <w:t xml:space="preserve">, robbery, </w:t>
      </w:r>
      <w:r w:rsidRPr="00314ADA">
        <w:rPr>
          <w:rFonts w:ascii="Times New Roman" w:hAnsi="Times New Roman" w:cs="Times New Roman"/>
          <w:sz w:val="24"/>
          <w:szCs w:val="24"/>
        </w:rPr>
        <w:t>aggravated assault</w:t>
      </w:r>
      <w:r w:rsidR="008D613B" w:rsidRPr="00314ADA">
        <w:rPr>
          <w:rFonts w:ascii="Times New Roman" w:hAnsi="Times New Roman" w:cs="Times New Roman"/>
          <w:sz w:val="24"/>
          <w:szCs w:val="24"/>
        </w:rPr>
        <w:t>,</w:t>
      </w:r>
      <w:r w:rsidRPr="00314ADA">
        <w:rPr>
          <w:rFonts w:ascii="Times New Roman" w:hAnsi="Times New Roman" w:cs="Times New Roman"/>
          <w:sz w:val="24"/>
          <w:szCs w:val="24"/>
        </w:rPr>
        <w:t xml:space="preserve"> murder a</w:t>
      </w:r>
      <w:r w:rsidR="008D613B" w:rsidRPr="00314ADA">
        <w:rPr>
          <w:rFonts w:ascii="Times New Roman" w:hAnsi="Times New Roman" w:cs="Times New Roman"/>
          <w:sz w:val="24"/>
          <w:szCs w:val="24"/>
        </w:rPr>
        <w:t xml:space="preserve">nd non-negligent manslaughter.   The percentage breakdown in 2008 for violent crime is as follows: aggravated assault (60.4%), robbery (32.0%), forcible rate (6.4%) and murder (1.2%).  </w:t>
      </w:r>
      <w:r w:rsidRPr="00314ADA">
        <w:rPr>
          <w:rFonts w:ascii="Times New Roman" w:hAnsi="Times New Roman" w:cs="Times New Roman"/>
          <w:sz w:val="24"/>
          <w:szCs w:val="24"/>
        </w:rPr>
        <w:t>In the United States, an estimated 1,382,012 violent crimes occurred nationwide in 2008.  This was a 1.6 percent increase from 2004, but a 3.2 percent decrease from 1999.  In 2008, there were an estimated 454.4 violent crimes per 100,000</w:t>
      </w:r>
      <w:r w:rsidR="008D613B" w:rsidRPr="00314ADA">
        <w:rPr>
          <w:rFonts w:ascii="Times New Roman" w:hAnsi="Times New Roman" w:cs="Times New Roman"/>
          <w:sz w:val="24"/>
          <w:szCs w:val="24"/>
        </w:rPr>
        <w:t xml:space="preserve"> inhabitants with the crime rate varying</w:t>
      </w:r>
      <w:r w:rsidR="00236862" w:rsidRPr="00314ADA">
        <w:rPr>
          <w:rFonts w:ascii="Times New Roman" w:hAnsi="Times New Roman" w:cs="Times New Roman"/>
          <w:sz w:val="24"/>
          <w:szCs w:val="24"/>
        </w:rPr>
        <w:t xml:space="preserve"> greatly</w:t>
      </w:r>
      <w:r w:rsidR="008D613B" w:rsidRPr="00314ADA">
        <w:rPr>
          <w:rFonts w:ascii="Times New Roman" w:hAnsi="Times New Roman" w:cs="Times New Roman"/>
          <w:sz w:val="24"/>
          <w:szCs w:val="24"/>
        </w:rPr>
        <w:t xml:space="preserve"> from one city to the next.  </w:t>
      </w:r>
      <w:r w:rsidR="008B4BD6">
        <w:rPr>
          <w:rFonts w:ascii="Times New Roman" w:hAnsi="Times New Roman" w:cs="Times New Roman"/>
          <w:sz w:val="24"/>
          <w:szCs w:val="24"/>
        </w:rPr>
        <w:t xml:space="preserve">The violent crime rate is an important statistic for cities in many ways.  It not only affects the quality of life for the inhabitants, but it also affects the economy.  The economic impact is felt in loss </w:t>
      </w:r>
      <w:r w:rsidR="003054BD">
        <w:rPr>
          <w:rFonts w:ascii="Times New Roman" w:hAnsi="Times New Roman" w:cs="Times New Roman"/>
          <w:sz w:val="24"/>
          <w:szCs w:val="24"/>
        </w:rPr>
        <w:t xml:space="preserve">of </w:t>
      </w:r>
      <w:r w:rsidR="008B4BD6">
        <w:rPr>
          <w:rFonts w:ascii="Times New Roman" w:hAnsi="Times New Roman" w:cs="Times New Roman"/>
          <w:sz w:val="24"/>
          <w:szCs w:val="24"/>
        </w:rPr>
        <w:t xml:space="preserve">tourism, attraction of businesses or events to the city </w:t>
      </w:r>
      <w:r w:rsidR="003054BD">
        <w:rPr>
          <w:rFonts w:ascii="Times New Roman" w:hAnsi="Times New Roman" w:cs="Times New Roman"/>
          <w:sz w:val="24"/>
          <w:szCs w:val="24"/>
        </w:rPr>
        <w:t xml:space="preserve">and thereby </w:t>
      </w:r>
      <w:r w:rsidR="008B4BD6">
        <w:rPr>
          <w:rFonts w:ascii="Times New Roman" w:hAnsi="Times New Roman" w:cs="Times New Roman"/>
          <w:sz w:val="24"/>
          <w:szCs w:val="24"/>
        </w:rPr>
        <w:t xml:space="preserve">affecting the inflow of </w:t>
      </w:r>
      <w:r w:rsidR="003054BD">
        <w:rPr>
          <w:rFonts w:ascii="Times New Roman" w:hAnsi="Times New Roman" w:cs="Times New Roman"/>
          <w:sz w:val="24"/>
          <w:szCs w:val="24"/>
        </w:rPr>
        <w:t xml:space="preserve">employed and </w:t>
      </w:r>
      <w:r w:rsidR="008B4BD6">
        <w:rPr>
          <w:rFonts w:ascii="Times New Roman" w:hAnsi="Times New Roman" w:cs="Times New Roman"/>
          <w:sz w:val="24"/>
          <w:szCs w:val="24"/>
        </w:rPr>
        <w:t xml:space="preserve">educated people.  The rate of violent crime also reflects the economy.  An increase in violent crime quite possibly indicates an increase in unemployment, lower income, broken families, among other factors that are examined in this report.  </w:t>
      </w:r>
      <w:r w:rsidR="008D613B" w:rsidRPr="00314ADA">
        <w:rPr>
          <w:rFonts w:ascii="Times New Roman" w:hAnsi="Times New Roman" w:cs="Times New Roman"/>
          <w:sz w:val="24"/>
          <w:szCs w:val="24"/>
        </w:rPr>
        <w:t>This report tests factors that possibly</w:t>
      </w:r>
      <w:r w:rsidR="003054BD">
        <w:rPr>
          <w:rFonts w:ascii="Times New Roman" w:hAnsi="Times New Roman" w:cs="Times New Roman"/>
          <w:sz w:val="24"/>
          <w:szCs w:val="24"/>
        </w:rPr>
        <w:t xml:space="preserve"> affect the crime rate in 40 selected cities across the United States</w:t>
      </w:r>
      <w:r w:rsidR="00236862" w:rsidRPr="00314ADA">
        <w:rPr>
          <w:rFonts w:ascii="Times New Roman" w:hAnsi="Times New Roman" w:cs="Times New Roman"/>
          <w:sz w:val="24"/>
          <w:szCs w:val="24"/>
        </w:rPr>
        <w:t>.</w:t>
      </w:r>
      <w:r w:rsidR="00314ADA" w:rsidRPr="00314ADA">
        <w:rPr>
          <w:rFonts w:ascii="Times New Roman" w:hAnsi="Times New Roman" w:cs="Times New Roman"/>
          <w:sz w:val="24"/>
          <w:szCs w:val="24"/>
        </w:rPr>
        <w:t xml:space="preserve"> </w:t>
      </w:r>
    </w:p>
    <w:p w:rsidR="00624EC2" w:rsidRDefault="00314ADA" w:rsidP="00624EC2">
      <w:pPr>
        <w:spacing w:line="480" w:lineRule="auto"/>
        <w:rPr>
          <w:rFonts w:ascii="Times New Roman" w:hAnsi="Times New Roman" w:cs="Times New Roman"/>
          <w:sz w:val="24"/>
          <w:szCs w:val="24"/>
        </w:rPr>
      </w:pPr>
      <w:r w:rsidRPr="00314ADA">
        <w:rPr>
          <w:rFonts w:ascii="Times New Roman" w:hAnsi="Times New Roman" w:cs="Times New Roman"/>
          <w:sz w:val="24"/>
          <w:szCs w:val="24"/>
        </w:rPr>
        <w:t>Each year, millions of dollars and hours of time are used to curb violent crime across the United States and there is much debate is on what these resources are going into.</w:t>
      </w:r>
      <w:r w:rsidR="00012424">
        <w:rPr>
          <w:rFonts w:ascii="Times New Roman" w:hAnsi="Times New Roman" w:cs="Times New Roman"/>
          <w:sz w:val="24"/>
          <w:szCs w:val="24"/>
        </w:rPr>
        <w:t xml:space="preserve"> </w:t>
      </w:r>
      <w:r w:rsidR="00544A5A">
        <w:rPr>
          <w:rFonts w:ascii="Times New Roman" w:hAnsi="Times New Roman" w:cs="Times New Roman"/>
          <w:sz w:val="24"/>
          <w:szCs w:val="24"/>
        </w:rPr>
        <w:t xml:space="preserve">  With more knowledge on what factors actually affect violent crime, more effective policy decisions can be made in addressing these factors specifically and less time and money will be wasted on programs that miss the mark on what actually is behind the violent crime rates.  This report will attempt to analyze which of these factors correlate to violent crime the most.</w:t>
      </w:r>
    </w:p>
    <w:p w:rsidR="007401DC" w:rsidRPr="00314ADA" w:rsidRDefault="007401DC" w:rsidP="00624EC2">
      <w:pPr>
        <w:spacing w:line="480" w:lineRule="auto"/>
        <w:rPr>
          <w:rFonts w:ascii="Times New Roman" w:hAnsi="Times New Roman" w:cs="Times New Roman"/>
          <w:sz w:val="24"/>
          <w:szCs w:val="24"/>
        </w:rPr>
      </w:pPr>
    </w:p>
    <w:p w:rsidR="00BE0550" w:rsidRPr="00314ADA" w:rsidRDefault="00BE0550" w:rsidP="00C06648">
      <w:pPr>
        <w:spacing w:line="480" w:lineRule="auto"/>
        <w:jc w:val="center"/>
        <w:rPr>
          <w:rFonts w:ascii="Times New Roman" w:hAnsi="Times New Roman" w:cs="Times New Roman"/>
          <w:sz w:val="24"/>
          <w:szCs w:val="24"/>
          <w:u w:val="single"/>
        </w:rPr>
      </w:pPr>
      <w:r w:rsidRPr="00314ADA">
        <w:rPr>
          <w:rFonts w:ascii="Times New Roman" w:hAnsi="Times New Roman" w:cs="Times New Roman"/>
          <w:sz w:val="24"/>
          <w:szCs w:val="24"/>
          <w:u w:val="single"/>
        </w:rPr>
        <w:lastRenderedPageBreak/>
        <w:t>Research problem</w:t>
      </w:r>
    </w:p>
    <w:p w:rsidR="007401DC" w:rsidRDefault="001B0D90" w:rsidP="00877D8F">
      <w:pPr>
        <w:spacing w:line="480" w:lineRule="auto"/>
        <w:rPr>
          <w:rFonts w:ascii="Times New Roman" w:hAnsi="Times New Roman" w:cs="Times New Roman"/>
          <w:sz w:val="24"/>
          <w:szCs w:val="24"/>
        </w:rPr>
      </w:pPr>
      <w:r>
        <w:rPr>
          <w:rFonts w:ascii="Times New Roman" w:hAnsi="Times New Roman" w:cs="Times New Roman"/>
          <w:sz w:val="24"/>
          <w:szCs w:val="24"/>
        </w:rPr>
        <w:t>The research question is this.  Why does the violent crime rate vary from one city to the next and what factors influence this variation?  T</w:t>
      </w:r>
      <w:r w:rsidR="00236862" w:rsidRPr="00314ADA">
        <w:rPr>
          <w:rFonts w:ascii="Times New Roman" w:hAnsi="Times New Roman" w:cs="Times New Roman"/>
          <w:sz w:val="24"/>
          <w:szCs w:val="24"/>
        </w:rPr>
        <w:t>his report a</w:t>
      </w:r>
      <w:r w:rsidR="00544A5A">
        <w:rPr>
          <w:rFonts w:ascii="Times New Roman" w:hAnsi="Times New Roman" w:cs="Times New Roman"/>
          <w:sz w:val="24"/>
          <w:szCs w:val="24"/>
        </w:rPr>
        <w:t>ttempt</w:t>
      </w:r>
      <w:r>
        <w:rPr>
          <w:rFonts w:ascii="Times New Roman" w:hAnsi="Times New Roman" w:cs="Times New Roman"/>
          <w:sz w:val="24"/>
          <w:szCs w:val="24"/>
        </w:rPr>
        <w:t xml:space="preserve">s to answer this </w:t>
      </w:r>
      <w:r w:rsidR="00544A5A">
        <w:rPr>
          <w:rFonts w:ascii="Times New Roman" w:hAnsi="Times New Roman" w:cs="Times New Roman"/>
          <w:sz w:val="24"/>
          <w:szCs w:val="24"/>
        </w:rPr>
        <w:t>question</w:t>
      </w:r>
      <w:r>
        <w:rPr>
          <w:rFonts w:ascii="Times New Roman" w:hAnsi="Times New Roman" w:cs="Times New Roman"/>
          <w:sz w:val="24"/>
          <w:szCs w:val="24"/>
        </w:rPr>
        <w:t xml:space="preserve">.  </w:t>
      </w:r>
      <w:r w:rsidR="000D6172" w:rsidRPr="00314ADA">
        <w:rPr>
          <w:rFonts w:ascii="Times New Roman" w:hAnsi="Times New Roman" w:cs="Times New Roman"/>
          <w:sz w:val="24"/>
          <w:szCs w:val="24"/>
        </w:rPr>
        <w:t>Many</w:t>
      </w:r>
      <w:r w:rsidR="00236862" w:rsidRPr="00314ADA">
        <w:rPr>
          <w:rFonts w:ascii="Times New Roman" w:hAnsi="Times New Roman" w:cs="Times New Roman"/>
          <w:sz w:val="24"/>
          <w:szCs w:val="24"/>
        </w:rPr>
        <w:t xml:space="preserve"> factors </w:t>
      </w:r>
      <w:r w:rsidR="000D6172" w:rsidRPr="00314ADA">
        <w:rPr>
          <w:rFonts w:ascii="Times New Roman" w:hAnsi="Times New Roman" w:cs="Times New Roman"/>
          <w:sz w:val="24"/>
          <w:szCs w:val="24"/>
        </w:rPr>
        <w:t xml:space="preserve">are </w:t>
      </w:r>
      <w:r w:rsidR="00236862" w:rsidRPr="00314ADA">
        <w:rPr>
          <w:rFonts w:ascii="Times New Roman" w:hAnsi="Times New Roman" w:cs="Times New Roman"/>
          <w:sz w:val="24"/>
          <w:szCs w:val="24"/>
        </w:rPr>
        <w:t>involved in determining why a city has a certain crime rate.</w:t>
      </w:r>
      <w:r w:rsidR="000D6172" w:rsidRPr="00314ADA">
        <w:rPr>
          <w:rFonts w:ascii="Times New Roman" w:hAnsi="Times New Roman" w:cs="Times New Roman"/>
          <w:sz w:val="24"/>
          <w:szCs w:val="24"/>
        </w:rPr>
        <w:t xml:space="preserve">  This study will perform multiple regression analysis on thirteen factors (independent variables) to see how well each of these correlates to the crime rate (dependent variable) for each of the forty cities studied.</w:t>
      </w:r>
      <w:r w:rsidR="00A132CF">
        <w:rPr>
          <w:rFonts w:ascii="Times New Roman" w:hAnsi="Times New Roman" w:cs="Times New Roman"/>
          <w:sz w:val="24"/>
          <w:szCs w:val="24"/>
        </w:rPr>
        <w:t xml:space="preserve">  The follow are the factors studied in this report</w:t>
      </w:r>
      <w:r w:rsidR="005B07F3" w:rsidRPr="00314ADA">
        <w:rPr>
          <w:rFonts w:ascii="Times New Roman" w:hAnsi="Times New Roman" w:cs="Times New Roman"/>
          <w:sz w:val="24"/>
          <w:szCs w:val="24"/>
        </w:rPr>
        <w:t>: Household Size, Percent High School Graduate or Higher, Percent B</w:t>
      </w:r>
      <w:r w:rsidR="00544A5A">
        <w:rPr>
          <w:rFonts w:ascii="Times New Roman" w:hAnsi="Times New Roman" w:cs="Times New Roman"/>
          <w:sz w:val="24"/>
          <w:szCs w:val="24"/>
        </w:rPr>
        <w:t>achelors Degree or Higher, Male (</w:t>
      </w:r>
      <w:r w:rsidR="005B07F3" w:rsidRPr="00314ADA">
        <w:rPr>
          <w:rFonts w:ascii="Times New Roman" w:hAnsi="Times New Roman" w:cs="Times New Roman"/>
          <w:sz w:val="24"/>
          <w:szCs w:val="24"/>
        </w:rPr>
        <w:t>now married except separated</w:t>
      </w:r>
      <w:r w:rsidR="00544A5A">
        <w:rPr>
          <w:rFonts w:ascii="Times New Roman" w:hAnsi="Times New Roman" w:cs="Times New Roman"/>
          <w:sz w:val="24"/>
          <w:szCs w:val="24"/>
        </w:rPr>
        <w:t>)</w:t>
      </w:r>
      <w:r w:rsidR="005B07F3" w:rsidRPr="00314ADA">
        <w:rPr>
          <w:rFonts w:ascii="Times New Roman" w:hAnsi="Times New Roman" w:cs="Times New Roman"/>
          <w:sz w:val="24"/>
          <w:szCs w:val="24"/>
        </w:rPr>
        <w:t xml:space="preserve">, In labor force (population 16 years and older), Median household income (2008 Inflation adjusted dollars), Individuals below poverty level, Owner occupied housing units, Median age, Percent white, Percent black, Percent Hispanic or Latino or any race and population.  </w:t>
      </w:r>
    </w:p>
    <w:p w:rsidR="00682510" w:rsidRPr="00314ADA" w:rsidRDefault="00682510" w:rsidP="00877D8F">
      <w:pPr>
        <w:spacing w:line="480" w:lineRule="auto"/>
        <w:rPr>
          <w:rFonts w:ascii="Times New Roman" w:hAnsi="Times New Roman" w:cs="Times New Roman"/>
          <w:sz w:val="24"/>
          <w:szCs w:val="24"/>
        </w:rPr>
      </w:pPr>
    </w:p>
    <w:p w:rsidR="00BE0550" w:rsidRPr="00314ADA" w:rsidRDefault="00BE0550" w:rsidP="00C06648">
      <w:pPr>
        <w:spacing w:line="480" w:lineRule="auto"/>
        <w:jc w:val="center"/>
        <w:rPr>
          <w:rFonts w:ascii="Times New Roman" w:hAnsi="Times New Roman" w:cs="Times New Roman"/>
          <w:sz w:val="24"/>
          <w:szCs w:val="24"/>
          <w:u w:val="single"/>
        </w:rPr>
      </w:pPr>
      <w:r w:rsidRPr="00314ADA">
        <w:rPr>
          <w:rFonts w:ascii="Times New Roman" w:hAnsi="Times New Roman" w:cs="Times New Roman"/>
          <w:sz w:val="24"/>
          <w:szCs w:val="24"/>
          <w:u w:val="single"/>
        </w:rPr>
        <w:t>Data Sources</w:t>
      </w:r>
    </w:p>
    <w:p w:rsidR="00BE0550" w:rsidRDefault="00236862" w:rsidP="00BE0550">
      <w:pPr>
        <w:spacing w:line="480" w:lineRule="auto"/>
        <w:rPr>
          <w:rFonts w:ascii="Times New Roman" w:hAnsi="Times New Roman" w:cs="Times New Roman"/>
          <w:sz w:val="24"/>
          <w:szCs w:val="24"/>
        </w:rPr>
      </w:pPr>
      <w:r w:rsidRPr="00314ADA">
        <w:rPr>
          <w:rFonts w:ascii="Times New Roman" w:hAnsi="Times New Roman" w:cs="Times New Roman"/>
          <w:sz w:val="24"/>
          <w:szCs w:val="24"/>
        </w:rPr>
        <w:t>The crime data is from the Fed</w:t>
      </w:r>
      <w:r w:rsidR="00682510">
        <w:rPr>
          <w:rFonts w:ascii="Times New Roman" w:hAnsi="Times New Roman" w:cs="Times New Roman"/>
          <w:sz w:val="24"/>
          <w:szCs w:val="24"/>
        </w:rPr>
        <w:t>eral Bureau of Investigation (FB</w:t>
      </w:r>
      <w:r w:rsidRPr="00314ADA">
        <w:rPr>
          <w:rFonts w:ascii="Times New Roman" w:hAnsi="Times New Roman" w:cs="Times New Roman"/>
          <w:sz w:val="24"/>
          <w:szCs w:val="24"/>
        </w:rPr>
        <w:t xml:space="preserve">I) website and the demographic data for each city </w:t>
      </w:r>
      <w:r w:rsidR="00552AD9" w:rsidRPr="00314ADA">
        <w:rPr>
          <w:rFonts w:ascii="Times New Roman" w:hAnsi="Times New Roman" w:cs="Times New Roman"/>
          <w:sz w:val="24"/>
          <w:szCs w:val="24"/>
        </w:rPr>
        <w:t>are</w:t>
      </w:r>
      <w:r w:rsidRPr="00314ADA">
        <w:rPr>
          <w:rFonts w:ascii="Times New Roman" w:hAnsi="Times New Roman" w:cs="Times New Roman"/>
          <w:sz w:val="24"/>
          <w:szCs w:val="24"/>
        </w:rPr>
        <w:t xml:space="preserve"> from the U. S. Census Bureau.</w:t>
      </w:r>
      <w:r w:rsidR="00552AD9" w:rsidRPr="00314ADA">
        <w:rPr>
          <w:rFonts w:ascii="Times New Roman" w:hAnsi="Times New Roman" w:cs="Times New Roman"/>
          <w:sz w:val="24"/>
          <w:szCs w:val="24"/>
        </w:rPr>
        <w:t xml:space="preserve">  The data are presented in the 2008 edition of the FBI’s annual publication </w:t>
      </w:r>
      <w:r w:rsidR="00682510">
        <w:rPr>
          <w:rFonts w:ascii="Times New Roman" w:hAnsi="Times New Roman" w:cs="Times New Roman"/>
          <w:sz w:val="24"/>
          <w:szCs w:val="24"/>
        </w:rPr>
        <w:t>“</w:t>
      </w:r>
      <w:r w:rsidR="00552AD9" w:rsidRPr="00314ADA">
        <w:rPr>
          <w:rFonts w:ascii="Times New Roman" w:hAnsi="Times New Roman" w:cs="Times New Roman"/>
          <w:sz w:val="24"/>
          <w:szCs w:val="24"/>
        </w:rPr>
        <w:t>Crime in the United States</w:t>
      </w:r>
      <w:r w:rsidR="00682510">
        <w:rPr>
          <w:rFonts w:ascii="Times New Roman" w:hAnsi="Times New Roman" w:cs="Times New Roman"/>
          <w:sz w:val="24"/>
          <w:szCs w:val="24"/>
        </w:rPr>
        <w:t>”</w:t>
      </w:r>
      <w:r w:rsidR="00552AD9" w:rsidRPr="00314ADA">
        <w:rPr>
          <w:rFonts w:ascii="Times New Roman" w:hAnsi="Times New Roman" w:cs="Times New Roman"/>
          <w:sz w:val="24"/>
          <w:szCs w:val="24"/>
        </w:rPr>
        <w:t>.  This is a statistical compilation of offense and arrest data as reported by law enforcement agencies that participate voluntarily in the FBI’s Uniform Crime Reporting (UCR) Program.</w:t>
      </w:r>
    </w:p>
    <w:p w:rsidR="00682510" w:rsidRDefault="00012424" w:rsidP="00BE055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demographic data on all of the cities in this study are from the United States Census Bureau.  The Population Estimates Program publishes total resident population estimates and demographic components each year.  The data in this report is for 2008.  </w:t>
      </w:r>
      <w:r w:rsidR="00544A5A" w:rsidRPr="00314ADA">
        <w:rPr>
          <w:rFonts w:ascii="Times New Roman" w:hAnsi="Times New Roman" w:cs="Times New Roman"/>
          <w:sz w:val="24"/>
          <w:szCs w:val="24"/>
        </w:rPr>
        <w:t>All these factors were found on the Fact Sheet section of each city in the United States Census Bureau website.</w:t>
      </w:r>
      <w:r w:rsidR="00544A5A">
        <w:rPr>
          <w:rFonts w:ascii="Times New Roman" w:hAnsi="Times New Roman" w:cs="Times New Roman"/>
          <w:sz w:val="24"/>
          <w:szCs w:val="24"/>
        </w:rPr>
        <w:t xml:space="preserve">  </w:t>
      </w:r>
    </w:p>
    <w:p w:rsidR="00012424" w:rsidRDefault="00971345" w:rsidP="00BE055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In order to analyze</w:t>
      </w:r>
      <w:r w:rsidR="00012424">
        <w:rPr>
          <w:rFonts w:ascii="Times New Roman" w:hAnsi="Times New Roman" w:cs="Times New Roman"/>
          <w:sz w:val="24"/>
          <w:szCs w:val="24"/>
        </w:rPr>
        <w:t xml:space="preserve"> the data, one</w:t>
      </w:r>
      <w:r w:rsidR="00682510">
        <w:rPr>
          <w:rFonts w:ascii="Times New Roman" w:hAnsi="Times New Roman" w:cs="Times New Roman"/>
          <w:sz w:val="24"/>
          <w:szCs w:val="24"/>
        </w:rPr>
        <w:t xml:space="preserve"> table was created combining</w:t>
      </w:r>
      <w:r w:rsidR="00012424">
        <w:rPr>
          <w:rFonts w:ascii="Times New Roman" w:hAnsi="Times New Roman" w:cs="Times New Roman"/>
          <w:sz w:val="24"/>
          <w:szCs w:val="24"/>
        </w:rPr>
        <w:t xml:space="preserve"> all the information from both the FBI and the U.S. Census</w:t>
      </w:r>
      <w:r w:rsidR="00682510">
        <w:rPr>
          <w:rFonts w:ascii="Times New Roman" w:hAnsi="Times New Roman" w:cs="Times New Roman"/>
          <w:sz w:val="24"/>
          <w:szCs w:val="24"/>
        </w:rPr>
        <w:t xml:space="preserve"> where each row represented one city and each column represents factual information about the city</w:t>
      </w:r>
      <w:r w:rsidR="00012424">
        <w:rPr>
          <w:rFonts w:ascii="Times New Roman" w:hAnsi="Times New Roman" w:cs="Times New Roman"/>
          <w:sz w:val="24"/>
          <w:szCs w:val="24"/>
        </w:rPr>
        <w:t xml:space="preserve">.  </w:t>
      </w:r>
      <w:r w:rsidR="00682510">
        <w:rPr>
          <w:rFonts w:ascii="Times New Roman" w:hAnsi="Times New Roman" w:cs="Times New Roman"/>
          <w:sz w:val="24"/>
          <w:szCs w:val="24"/>
        </w:rPr>
        <w:t>This data table is included in the appendix.</w:t>
      </w:r>
    </w:p>
    <w:p w:rsidR="00BC26B8" w:rsidRPr="00314ADA" w:rsidRDefault="00BC26B8" w:rsidP="00BE0550">
      <w:pPr>
        <w:spacing w:line="480" w:lineRule="auto"/>
        <w:rPr>
          <w:rFonts w:ascii="Times New Roman" w:hAnsi="Times New Roman" w:cs="Times New Roman"/>
          <w:sz w:val="24"/>
          <w:szCs w:val="24"/>
        </w:rPr>
      </w:pPr>
    </w:p>
    <w:p w:rsidR="00BE0550" w:rsidRPr="00314ADA" w:rsidRDefault="00BE0550" w:rsidP="00C06648">
      <w:pPr>
        <w:spacing w:line="480" w:lineRule="auto"/>
        <w:jc w:val="center"/>
        <w:rPr>
          <w:rFonts w:ascii="Times New Roman" w:hAnsi="Times New Roman" w:cs="Times New Roman"/>
          <w:sz w:val="24"/>
          <w:szCs w:val="24"/>
          <w:u w:val="single"/>
        </w:rPr>
      </w:pPr>
      <w:r w:rsidRPr="00314ADA">
        <w:rPr>
          <w:rFonts w:ascii="Times New Roman" w:hAnsi="Times New Roman" w:cs="Times New Roman"/>
          <w:sz w:val="24"/>
          <w:szCs w:val="24"/>
          <w:u w:val="single"/>
        </w:rPr>
        <w:t>Hypotheses</w:t>
      </w:r>
    </w:p>
    <w:p w:rsidR="00BC26B8" w:rsidRDefault="00EF49AC" w:rsidP="00EF49AC">
      <w:pPr>
        <w:spacing w:line="480" w:lineRule="auto"/>
        <w:rPr>
          <w:rFonts w:ascii="Times New Roman" w:hAnsi="Times New Roman" w:cs="Times New Roman"/>
          <w:sz w:val="24"/>
          <w:szCs w:val="24"/>
        </w:rPr>
      </w:pPr>
      <w:r w:rsidRPr="00314ADA">
        <w:rPr>
          <w:rFonts w:ascii="Times New Roman" w:hAnsi="Times New Roman" w:cs="Times New Roman"/>
          <w:sz w:val="24"/>
          <w:szCs w:val="24"/>
        </w:rPr>
        <w:t>It is hypothesized that each of the factors in this study mention</w:t>
      </w:r>
      <w:r w:rsidR="00534D19">
        <w:rPr>
          <w:rFonts w:ascii="Times New Roman" w:hAnsi="Times New Roman" w:cs="Times New Roman"/>
          <w:sz w:val="24"/>
          <w:szCs w:val="24"/>
        </w:rPr>
        <w:t>ed</w:t>
      </w:r>
      <w:r w:rsidRPr="00314ADA">
        <w:rPr>
          <w:rFonts w:ascii="Times New Roman" w:hAnsi="Times New Roman" w:cs="Times New Roman"/>
          <w:sz w:val="24"/>
          <w:szCs w:val="24"/>
        </w:rPr>
        <w:t xml:space="preserve"> in the Research</w:t>
      </w:r>
      <w:r w:rsidR="002A4897">
        <w:rPr>
          <w:rFonts w:ascii="Times New Roman" w:hAnsi="Times New Roman" w:cs="Times New Roman"/>
          <w:sz w:val="24"/>
          <w:szCs w:val="24"/>
        </w:rPr>
        <w:t xml:space="preserve"> Problem section of this report has a statistically significant relationship with violent crime</w:t>
      </w:r>
      <w:r w:rsidR="00506F50">
        <w:rPr>
          <w:rFonts w:ascii="Times New Roman" w:hAnsi="Times New Roman" w:cs="Times New Roman"/>
          <w:sz w:val="24"/>
          <w:szCs w:val="24"/>
        </w:rPr>
        <w:t xml:space="preserve"> for the 40 cities in this study</w:t>
      </w:r>
      <w:r w:rsidR="002A4897">
        <w:rPr>
          <w:rFonts w:ascii="Times New Roman" w:hAnsi="Times New Roman" w:cs="Times New Roman"/>
          <w:sz w:val="24"/>
          <w:szCs w:val="24"/>
        </w:rPr>
        <w:t>.  With a co</w:t>
      </w:r>
      <w:r w:rsidR="007C3FF5">
        <w:rPr>
          <w:rFonts w:ascii="Times New Roman" w:hAnsi="Times New Roman" w:cs="Times New Roman"/>
          <w:sz w:val="24"/>
          <w:szCs w:val="24"/>
        </w:rPr>
        <w:t xml:space="preserve">nfidence level set at 95%, it is hypothesized that many if not most of these factors have </w:t>
      </w:r>
      <w:r w:rsidR="00534D19">
        <w:rPr>
          <w:rFonts w:ascii="Times New Roman" w:hAnsi="Times New Roman" w:cs="Times New Roman"/>
          <w:sz w:val="24"/>
          <w:szCs w:val="24"/>
        </w:rPr>
        <w:t>such a relationship.</w:t>
      </w:r>
    </w:p>
    <w:p w:rsidR="007401DC" w:rsidRPr="00314ADA" w:rsidRDefault="007401DC" w:rsidP="00EF49AC">
      <w:pPr>
        <w:spacing w:line="480" w:lineRule="auto"/>
        <w:rPr>
          <w:rFonts w:ascii="Times New Roman" w:hAnsi="Times New Roman" w:cs="Times New Roman"/>
          <w:sz w:val="24"/>
          <w:szCs w:val="24"/>
        </w:rPr>
      </w:pPr>
    </w:p>
    <w:p w:rsidR="00BE0550" w:rsidRPr="00314ADA" w:rsidRDefault="00BE0550" w:rsidP="00C06648">
      <w:pPr>
        <w:spacing w:line="480" w:lineRule="auto"/>
        <w:jc w:val="center"/>
        <w:rPr>
          <w:rFonts w:ascii="Times New Roman" w:hAnsi="Times New Roman" w:cs="Times New Roman"/>
          <w:sz w:val="24"/>
          <w:szCs w:val="24"/>
          <w:u w:val="single"/>
        </w:rPr>
      </w:pPr>
      <w:r w:rsidRPr="00314ADA">
        <w:rPr>
          <w:rFonts w:ascii="Times New Roman" w:hAnsi="Times New Roman" w:cs="Times New Roman"/>
          <w:sz w:val="24"/>
          <w:szCs w:val="24"/>
          <w:u w:val="single"/>
        </w:rPr>
        <w:t>Research Results</w:t>
      </w:r>
    </w:p>
    <w:p w:rsidR="00552AD9" w:rsidRPr="00314ADA" w:rsidRDefault="00552AD9" w:rsidP="00BE0550">
      <w:pPr>
        <w:spacing w:line="480" w:lineRule="auto"/>
        <w:rPr>
          <w:rFonts w:ascii="Times New Roman" w:hAnsi="Times New Roman" w:cs="Times New Roman"/>
          <w:sz w:val="24"/>
          <w:szCs w:val="24"/>
        </w:rPr>
      </w:pPr>
      <w:r w:rsidRPr="00314ADA">
        <w:rPr>
          <w:rFonts w:ascii="Times New Roman" w:hAnsi="Times New Roman" w:cs="Times New Roman"/>
          <w:sz w:val="24"/>
          <w:szCs w:val="24"/>
        </w:rPr>
        <w:t xml:space="preserve">In this dataset, 40 cities were analyzed for violent crime.  The average crime rate for these cities for 2008 </w:t>
      </w:r>
      <w:r w:rsidR="00506F50">
        <w:rPr>
          <w:rFonts w:ascii="Times New Roman" w:hAnsi="Times New Roman" w:cs="Times New Roman"/>
          <w:sz w:val="24"/>
          <w:szCs w:val="24"/>
        </w:rPr>
        <w:t>was</w:t>
      </w:r>
      <w:r w:rsidRPr="00314ADA">
        <w:rPr>
          <w:rFonts w:ascii="Times New Roman" w:hAnsi="Times New Roman" w:cs="Times New Roman"/>
          <w:sz w:val="24"/>
          <w:szCs w:val="24"/>
        </w:rPr>
        <w:t xml:space="preserve"> 943.1.  Several criteria were used for selecting these cities.  Cities had to be over 100,000 people and were preferred to be a significant part of the Metropolitan Statistical Area (M.S.A).  The cities chosen had a population roughly between 100,000 and 1,000,000 with the exception of Albany and San Antonio.</w:t>
      </w:r>
    </w:p>
    <w:p w:rsidR="002A4897" w:rsidRPr="00E044A9" w:rsidRDefault="00060ED0" w:rsidP="00BE0550">
      <w:pPr>
        <w:spacing w:line="480" w:lineRule="auto"/>
        <w:rPr>
          <w:rFonts w:ascii="Times New Roman" w:eastAsia="Times New Roman" w:hAnsi="Times New Roman" w:cs="Times New Roman"/>
          <w:color w:val="000000"/>
          <w:sz w:val="24"/>
          <w:szCs w:val="24"/>
        </w:rPr>
      </w:pPr>
      <w:r w:rsidRPr="00314ADA">
        <w:rPr>
          <w:rFonts w:ascii="Times New Roman" w:hAnsi="Times New Roman" w:cs="Times New Roman"/>
          <w:sz w:val="24"/>
          <w:szCs w:val="24"/>
        </w:rPr>
        <w:t>Scatter plots were drawn for all</w:t>
      </w:r>
      <w:r w:rsidR="006973EB">
        <w:rPr>
          <w:rFonts w:ascii="Times New Roman" w:hAnsi="Times New Roman" w:cs="Times New Roman"/>
          <w:sz w:val="24"/>
          <w:szCs w:val="24"/>
        </w:rPr>
        <w:t xml:space="preserve"> thirteen factors in this study (See Appen</w:t>
      </w:r>
      <w:r w:rsidR="00506F50">
        <w:rPr>
          <w:rFonts w:ascii="Times New Roman" w:hAnsi="Times New Roman" w:cs="Times New Roman"/>
          <w:sz w:val="24"/>
          <w:szCs w:val="24"/>
        </w:rPr>
        <w:t>dix</w:t>
      </w:r>
      <w:r w:rsidR="006973EB">
        <w:rPr>
          <w:rFonts w:ascii="Times New Roman" w:hAnsi="Times New Roman" w:cs="Times New Roman"/>
          <w:sz w:val="24"/>
          <w:szCs w:val="24"/>
        </w:rPr>
        <w:t>)</w:t>
      </w:r>
      <w:r w:rsidRPr="00314ADA">
        <w:rPr>
          <w:rFonts w:ascii="Times New Roman" w:hAnsi="Times New Roman" w:cs="Times New Roman"/>
          <w:sz w:val="24"/>
          <w:szCs w:val="24"/>
        </w:rPr>
        <w:t xml:space="preserve">.  </w:t>
      </w:r>
      <w:r w:rsidR="0096525F" w:rsidRPr="00314ADA">
        <w:rPr>
          <w:rFonts w:ascii="Times New Roman" w:hAnsi="Times New Roman" w:cs="Times New Roman"/>
          <w:sz w:val="24"/>
          <w:szCs w:val="24"/>
        </w:rPr>
        <w:t xml:space="preserve">Household Size, Percent High School Graduate or Higher, </w:t>
      </w:r>
      <w:proofErr w:type="gramStart"/>
      <w:r w:rsidR="00C13577" w:rsidRPr="00314ADA">
        <w:rPr>
          <w:rFonts w:ascii="Times New Roman" w:hAnsi="Times New Roman" w:cs="Times New Roman"/>
          <w:sz w:val="24"/>
          <w:szCs w:val="24"/>
        </w:rPr>
        <w:t>In</w:t>
      </w:r>
      <w:proofErr w:type="gramEnd"/>
      <w:r w:rsidR="0096525F" w:rsidRPr="00314ADA">
        <w:rPr>
          <w:rFonts w:ascii="Times New Roman" w:hAnsi="Times New Roman" w:cs="Times New Roman"/>
          <w:sz w:val="24"/>
          <w:szCs w:val="24"/>
        </w:rPr>
        <w:t xml:space="preserve"> labor force (population 16 years and older), Median age, and population were removed from analysis after visual inspection of the scatter plots because of little to no correlation seen.</w:t>
      </w:r>
      <w:r w:rsidR="00C13577" w:rsidRPr="00314ADA">
        <w:rPr>
          <w:rFonts w:ascii="Times New Roman" w:hAnsi="Times New Roman" w:cs="Times New Roman"/>
          <w:sz w:val="24"/>
          <w:szCs w:val="24"/>
        </w:rPr>
        <w:t xml:space="preserve">  </w:t>
      </w:r>
      <w:r w:rsidR="006973EB">
        <w:rPr>
          <w:rFonts w:ascii="Times New Roman" w:hAnsi="Times New Roman" w:cs="Times New Roman"/>
          <w:sz w:val="24"/>
          <w:szCs w:val="24"/>
        </w:rPr>
        <w:t>M</w:t>
      </w:r>
      <w:r w:rsidR="00C13577" w:rsidRPr="00314ADA">
        <w:rPr>
          <w:rFonts w:ascii="Times New Roman" w:hAnsi="Times New Roman" w:cs="Times New Roman"/>
          <w:sz w:val="24"/>
          <w:szCs w:val="24"/>
        </w:rPr>
        <w:t xml:space="preserve">ultiple regression was carried out </w:t>
      </w:r>
      <w:r w:rsidR="006973EB">
        <w:rPr>
          <w:rFonts w:ascii="Times New Roman" w:hAnsi="Times New Roman" w:cs="Times New Roman"/>
          <w:sz w:val="24"/>
          <w:szCs w:val="24"/>
        </w:rPr>
        <w:t xml:space="preserve">using Excel and SPSS </w:t>
      </w:r>
      <w:r w:rsidR="00C13577" w:rsidRPr="00314ADA">
        <w:rPr>
          <w:rFonts w:ascii="Times New Roman" w:hAnsi="Times New Roman" w:cs="Times New Roman"/>
          <w:sz w:val="24"/>
          <w:szCs w:val="24"/>
        </w:rPr>
        <w:t xml:space="preserve">for each the </w:t>
      </w:r>
      <w:r w:rsidR="002A4897">
        <w:rPr>
          <w:rFonts w:ascii="Times New Roman" w:hAnsi="Times New Roman" w:cs="Times New Roman"/>
          <w:sz w:val="24"/>
          <w:szCs w:val="24"/>
        </w:rPr>
        <w:t>remaining nine factors.  Table 1</w:t>
      </w:r>
      <w:r w:rsidR="00C13577" w:rsidRPr="00314ADA">
        <w:rPr>
          <w:rFonts w:ascii="Times New Roman" w:hAnsi="Times New Roman" w:cs="Times New Roman"/>
          <w:sz w:val="24"/>
          <w:szCs w:val="24"/>
        </w:rPr>
        <w:t xml:space="preserve"> shows the results of the Pearson Correlation </w:t>
      </w:r>
      <w:r w:rsidR="00C13577" w:rsidRPr="00314ADA">
        <w:rPr>
          <w:rFonts w:ascii="Times New Roman" w:hAnsi="Times New Roman" w:cs="Times New Roman"/>
          <w:sz w:val="24"/>
          <w:szCs w:val="24"/>
        </w:rPr>
        <w:lastRenderedPageBreak/>
        <w:t>for each of these factors.</w:t>
      </w:r>
      <w:r w:rsidR="00E42FB1" w:rsidRPr="00314ADA">
        <w:rPr>
          <w:rFonts w:ascii="Times New Roman" w:hAnsi="Times New Roman" w:cs="Times New Roman"/>
          <w:sz w:val="24"/>
          <w:szCs w:val="24"/>
        </w:rPr>
        <w:t xml:space="preserve">  </w:t>
      </w:r>
      <w:r w:rsidR="006973EB">
        <w:rPr>
          <w:rFonts w:ascii="Times New Roman" w:hAnsi="Times New Roman" w:cs="Times New Roman"/>
          <w:sz w:val="24"/>
          <w:szCs w:val="24"/>
        </w:rPr>
        <w:t>Figure 1 and 2 shows that the violent crime data is very close to being normally distributed.  As shown in Table 4</w:t>
      </w:r>
      <w:r w:rsidR="002A4897">
        <w:rPr>
          <w:rFonts w:ascii="Times New Roman" w:hAnsi="Times New Roman" w:cs="Times New Roman"/>
          <w:sz w:val="24"/>
          <w:szCs w:val="24"/>
        </w:rPr>
        <w:t>, all of the factors fail to reject the null hypothes</w:t>
      </w:r>
      <w:r w:rsidR="006973EB">
        <w:rPr>
          <w:rFonts w:ascii="Times New Roman" w:hAnsi="Times New Roman" w:cs="Times New Roman"/>
          <w:sz w:val="24"/>
          <w:szCs w:val="24"/>
        </w:rPr>
        <w:t>is where the confidence level was</w:t>
      </w:r>
      <w:r w:rsidR="002A4897">
        <w:rPr>
          <w:rFonts w:ascii="Times New Roman" w:hAnsi="Times New Roman" w:cs="Times New Roman"/>
          <w:sz w:val="24"/>
          <w:szCs w:val="24"/>
        </w:rPr>
        <w:t xml:space="preserve"> set at 95%.  As it turns out, this study rather turned into a comparative study where each factor was compared with the next rather than </w:t>
      </w:r>
      <w:r w:rsidR="006973EB">
        <w:rPr>
          <w:rFonts w:ascii="Times New Roman" w:hAnsi="Times New Roman" w:cs="Times New Roman"/>
          <w:sz w:val="24"/>
          <w:szCs w:val="24"/>
        </w:rPr>
        <w:t>indicating that any of them had</w:t>
      </w:r>
      <w:r w:rsidR="002A4897">
        <w:rPr>
          <w:rFonts w:ascii="Times New Roman" w:hAnsi="Times New Roman" w:cs="Times New Roman"/>
          <w:sz w:val="24"/>
          <w:szCs w:val="24"/>
        </w:rPr>
        <w:t xml:space="preserve"> a stati</w:t>
      </w:r>
      <w:r w:rsidR="006973EB">
        <w:rPr>
          <w:rFonts w:ascii="Times New Roman" w:hAnsi="Times New Roman" w:cs="Times New Roman"/>
          <w:sz w:val="24"/>
          <w:szCs w:val="24"/>
        </w:rPr>
        <w:t>sti</w:t>
      </w:r>
      <w:r w:rsidR="002A4897">
        <w:rPr>
          <w:rFonts w:ascii="Times New Roman" w:hAnsi="Times New Roman" w:cs="Times New Roman"/>
          <w:sz w:val="24"/>
          <w:szCs w:val="24"/>
        </w:rPr>
        <w:t xml:space="preserve">cally significant relationship to violent crime.  </w:t>
      </w:r>
      <w:r w:rsidR="00E044A9">
        <w:rPr>
          <w:rFonts w:ascii="Times New Roman" w:hAnsi="Times New Roman" w:cs="Times New Roman"/>
          <w:sz w:val="24"/>
          <w:szCs w:val="24"/>
        </w:rPr>
        <w:t xml:space="preserve">On the other hand, </w:t>
      </w:r>
      <w:r w:rsidR="00E044A9">
        <w:rPr>
          <w:rFonts w:ascii="Times New Roman" w:eastAsia="Times New Roman" w:hAnsi="Times New Roman" w:cs="Times New Roman"/>
          <w:color w:val="000000"/>
          <w:sz w:val="24"/>
          <w:szCs w:val="24"/>
        </w:rPr>
        <w:t xml:space="preserve">as shown in the ANOVA table (Table 3), the significance F </w:t>
      </w:r>
      <w:r w:rsidR="00E044A9" w:rsidRPr="003F0C6A">
        <w:rPr>
          <w:rFonts w:ascii="Times New Roman" w:eastAsia="Times New Roman" w:hAnsi="Times New Roman" w:cs="Times New Roman"/>
          <w:color w:val="000000"/>
          <w:sz w:val="24"/>
          <w:szCs w:val="24"/>
        </w:rPr>
        <w:t xml:space="preserve">value for this series is </w:t>
      </w:r>
      <w:r w:rsidR="00E044A9" w:rsidRPr="003F0C6A">
        <w:rPr>
          <w:rFonts w:ascii="Calibri" w:eastAsia="Times New Roman" w:hAnsi="Calibri" w:cs="Times New Roman"/>
          <w:color w:val="000000"/>
          <w:sz w:val="24"/>
          <w:szCs w:val="24"/>
        </w:rPr>
        <w:t>0.00221.</w:t>
      </w:r>
      <w:r w:rsidR="00E044A9">
        <w:rPr>
          <w:rFonts w:ascii="Calibri" w:eastAsia="Times New Roman" w:hAnsi="Calibri" w:cs="Times New Roman"/>
          <w:color w:val="000000"/>
          <w:sz w:val="24"/>
          <w:szCs w:val="24"/>
        </w:rPr>
        <w:t xml:space="preserve"> With a confidence level of 95%, this is well below the 0.05 that would be used to reject the null hypothesis which is that none of the factors affect violent crime.  This is for the data as a whole though.</w:t>
      </w:r>
    </w:p>
    <w:p w:rsidR="00D41855" w:rsidRDefault="00107284" w:rsidP="00BE0550">
      <w:pPr>
        <w:spacing w:line="480" w:lineRule="auto"/>
        <w:rPr>
          <w:rFonts w:ascii="Times New Roman" w:eastAsia="Times New Roman" w:hAnsi="Times New Roman" w:cs="Times New Roman"/>
          <w:color w:val="000000"/>
          <w:sz w:val="24"/>
          <w:szCs w:val="24"/>
        </w:rPr>
      </w:pPr>
      <w:r w:rsidRPr="00314ADA">
        <w:rPr>
          <w:rFonts w:ascii="Times New Roman" w:hAnsi="Times New Roman" w:cs="Times New Roman"/>
          <w:sz w:val="24"/>
          <w:szCs w:val="24"/>
        </w:rPr>
        <w:t xml:space="preserve">The top four factors in the order of </w:t>
      </w:r>
      <w:r w:rsidR="00EA1E85">
        <w:rPr>
          <w:rFonts w:ascii="Times New Roman" w:hAnsi="Times New Roman" w:cs="Times New Roman"/>
          <w:sz w:val="24"/>
          <w:szCs w:val="24"/>
        </w:rPr>
        <w:t>their R</w:t>
      </w:r>
      <w:r w:rsidR="00EA1E85" w:rsidRPr="00EA1E85">
        <w:rPr>
          <w:rFonts w:ascii="Times New Roman" w:hAnsi="Times New Roman" w:cs="Times New Roman"/>
          <w:sz w:val="24"/>
          <w:szCs w:val="24"/>
          <w:vertAlign w:val="superscript"/>
        </w:rPr>
        <w:t>2</w:t>
      </w:r>
      <w:r w:rsidR="00EA1E85">
        <w:rPr>
          <w:rFonts w:ascii="Times New Roman" w:hAnsi="Times New Roman" w:cs="Times New Roman"/>
          <w:sz w:val="24"/>
          <w:szCs w:val="24"/>
        </w:rPr>
        <w:t xml:space="preserve"> </w:t>
      </w:r>
      <w:r w:rsidRPr="00314ADA">
        <w:rPr>
          <w:rFonts w:ascii="Times New Roman" w:hAnsi="Times New Roman" w:cs="Times New Roman"/>
          <w:sz w:val="24"/>
          <w:szCs w:val="24"/>
        </w:rPr>
        <w:t>to violent crime are percent black (</w:t>
      </w:r>
      <w:r w:rsidR="00EA1E85" w:rsidRPr="00314ADA">
        <w:rPr>
          <w:rFonts w:ascii="Times New Roman" w:eastAsia="Times New Roman" w:hAnsi="Times New Roman" w:cs="Times New Roman"/>
          <w:color w:val="000000"/>
          <w:sz w:val="24"/>
          <w:szCs w:val="24"/>
        </w:rPr>
        <w:t>0.438</w:t>
      </w:r>
      <w:r w:rsidRPr="00314ADA">
        <w:rPr>
          <w:rFonts w:ascii="Times New Roman" w:eastAsia="Times New Roman" w:hAnsi="Times New Roman" w:cs="Times New Roman"/>
          <w:color w:val="000000"/>
          <w:sz w:val="24"/>
          <w:szCs w:val="24"/>
        </w:rPr>
        <w:t>)</w:t>
      </w:r>
      <w:r w:rsidRPr="00314ADA">
        <w:rPr>
          <w:rFonts w:ascii="Times New Roman" w:hAnsi="Times New Roman" w:cs="Times New Roman"/>
          <w:sz w:val="24"/>
          <w:szCs w:val="24"/>
        </w:rPr>
        <w:t xml:space="preserve">, </w:t>
      </w:r>
      <w:r w:rsidRPr="00314ADA">
        <w:rPr>
          <w:rFonts w:ascii="Times New Roman" w:eastAsia="Times New Roman" w:hAnsi="Times New Roman" w:cs="Times New Roman"/>
          <w:color w:val="000000"/>
          <w:sz w:val="24"/>
          <w:szCs w:val="24"/>
        </w:rPr>
        <w:t>Median household Income (2008 Inflation adjusted Dollars)</w:t>
      </w:r>
      <w:r w:rsidR="00F43795">
        <w:rPr>
          <w:rFonts w:ascii="Times New Roman" w:eastAsia="Times New Roman" w:hAnsi="Times New Roman" w:cs="Times New Roman"/>
          <w:color w:val="000000"/>
          <w:sz w:val="24"/>
          <w:szCs w:val="24"/>
        </w:rPr>
        <w:t xml:space="preserve"> (</w:t>
      </w:r>
      <w:r w:rsidR="00EA1E85" w:rsidRPr="00314ADA">
        <w:rPr>
          <w:rFonts w:ascii="Times New Roman" w:eastAsia="Times New Roman" w:hAnsi="Times New Roman" w:cs="Times New Roman"/>
          <w:color w:val="000000"/>
          <w:sz w:val="24"/>
          <w:szCs w:val="24"/>
        </w:rPr>
        <w:t>0.357</w:t>
      </w:r>
      <w:r w:rsidRPr="00314ADA">
        <w:rPr>
          <w:rFonts w:ascii="Times New Roman" w:eastAsia="Times New Roman" w:hAnsi="Times New Roman" w:cs="Times New Roman"/>
          <w:color w:val="000000"/>
          <w:sz w:val="24"/>
          <w:szCs w:val="24"/>
        </w:rPr>
        <w:t>), Male, Now Married except separated (</w:t>
      </w:r>
      <w:r w:rsidR="00F43795">
        <w:rPr>
          <w:rFonts w:ascii="Times New Roman" w:eastAsia="Times New Roman" w:hAnsi="Times New Roman" w:cs="Times New Roman"/>
          <w:color w:val="000000"/>
          <w:sz w:val="24"/>
          <w:szCs w:val="24"/>
        </w:rPr>
        <w:t xml:space="preserve">0.302), </w:t>
      </w:r>
      <w:r w:rsidRPr="00314ADA">
        <w:rPr>
          <w:rFonts w:ascii="Times New Roman" w:eastAsia="Times New Roman" w:hAnsi="Times New Roman" w:cs="Times New Roman"/>
          <w:color w:val="000000"/>
          <w:sz w:val="24"/>
          <w:szCs w:val="24"/>
        </w:rPr>
        <w:t xml:space="preserve">Individuals below poverty level (0.481), </w:t>
      </w:r>
      <w:r w:rsidR="00F43795">
        <w:rPr>
          <w:rFonts w:ascii="Times New Roman" w:eastAsia="Times New Roman" w:hAnsi="Times New Roman" w:cs="Times New Roman"/>
          <w:color w:val="000000"/>
          <w:sz w:val="24"/>
          <w:szCs w:val="24"/>
        </w:rPr>
        <w:t xml:space="preserve">and </w:t>
      </w:r>
      <w:r w:rsidRPr="00314ADA">
        <w:rPr>
          <w:rFonts w:ascii="Times New Roman" w:eastAsia="Times New Roman" w:hAnsi="Times New Roman" w:cs="Times New Roman"/>
          <w:color w:val="000000"/>
          <w:sz w:val="24"/>
          <w:szCs w:val="24"/>
        </w:rPr>
        <w:t>Owner occupied housing uni</w:t>
      </w:r>
      <w:r w:rsidR="00EA1E85">
        <w:rPr>
          <w:rFonts w:ascii="Times New Roman" w:eastAsia="Times New Roman" w:hAnsi="Times New Roman" w:cs="Times New Roman"/>
          <w:color w:val="000000"/>
          <w:sz w:val="24"/>
          <w:szCs w:val="24"/>
        </w:rPr>
        <w:t>ts</w:t>
      </w:r>
      <w:r w:rsidR="00F43795">
        <w:rPr>
          <w:rFonts w:ascii="Times New Roman" w:eastAsia="Times New Roman" w:hAnsi="Times New Roman" w:cs="Times New Roman"/>
          <w:color w:val="000000"/>
          <w:sz w:val="24"/>
          <w:szCs w:val="24"/>
        </w:rPr>
        <w:t xml:space="preserve"> (0.162</w:t>
      </w:r>
      <w:r w:rsidR="00EA1E85">
        <w:rPr>
          <w:rFonts w:ascii="Times New Roman" w:eastAsia="Times New Roman" w:hAnsi="Times New Roman" w:cs="Times New Roman"/>
          <w:color w:val="000000"/>
          <w:sz w:val="24"/>
          <w:szCs w:val="24"/>
        </w:rPr>
        <w:t xml:space="preserve">).  </w:t>
      </w:r>
      <w:r w:rsidR="00F43795">
        <w:rPr>
          <w:rFonts w:ascii="Times New Roman" w:eastAsia="Times New Roman" w:hAnsi="Times New Roman" w:cs="Times New Roman"/>
          <w:color w:val="000000"/>
          <w:sz w:val="24"/>
          <w:szCs w:val="24"/>
        </w:rPr>
        <w:t xml:space="preserve">The </w:t>
      </w:r>
      <w:r w:rsidR="00F43795">
        <w:rPr>
          <w:rFonts w:ascii="Times New Roman" w:hAnsi="Times New Roman" w:cs="Times New Roman"/>
          <w:sz w:val="24"/>
          <w:szCs w:val="24"/>
        </w:rPr>
        <w:t>R</w:t>
      </w:r>
      <w:r w:rsidR="00F43795" w:rsidRPr="00EA1E85">
        <w:rPr>
          <w:rFonts w:ascii="Times New Roman" w:hAnsi="Times New Roman" w:cs="Times New Roman"/>
          <w:sz w:val="24"/>
          <w:szCs w:val="24"/>
          <w:vertAlign w:val="superscript"/>
        </w:rPr>
        <w:t>2</w:t>
      </w:r>
      <w:r w:rsidR="00F43795">
        <w:rPr>
          <w:rFonts w:ascii="Times New Roman" w:hAnsi="Times New Roman" w:cs="Times New Roman"/>
          <w:sz w:val="24"/>
          <w:szCs w:val="24"/>
          <w:vertAlign w:val="superscript"/>
        </w:rPr>
        <w:t xml:space="preserve"> </w:t>
      </w:r>
      <w:r w:rsidR="00F43795">
        <w:rPr>
          <w:rFonts w:ascii="Times New Roman" w:eastAsia="Times New Roman" w:hAnsi="Times New Roman" w:cs="Times New Roman"/>
          <w:color w:val="000000"/>
          <w:sz w:val="24"/>
          <w:szCs w:val="24"/>
        </w:rPr>
        <w:t xml:space="preserve">has a significant meaning.   </w:t>
      </w:r>
      <w:r w:rsidR="00D41855">
        <w:rPr>
          <w:rFonts w:ascii="Times New Roman" w:eastAsia="Times New Roman" w:hAnsi="Times New Roman" w:cs="Times New Roman"/>
          <w:color w:val="000000"/>
          <w:sz w:val="24"/>
          <w:szCs w:val="24"/>
        </w:rPr>
        <w:t>For example</w:t>
      </w:r>
      <w:r w:rsidR="00F43795">
        <w:rPr>
          <w:rFonts w:ascii="Times New Roman" w:eastAsia="Times New Roman" w:hAnsi="Times New Roman" w:cs="Times New Roman"/>
          <w:color w:val="000000"/>
          <w:sz w:val="24"/>
          <w:szCs w:val="24"/>
        </w:rPr>
        <w:t>,</w:t>
      </w:r>
      <w:r w:rsidR="00D41855">
        <w:rPr>
          <w:rFonts w:ascii="Times New Roman" w:eastAsia="Times New Roman" w:hAnsi="Times New Roman" w:cs="Times New Roman"/>
          <w:color w:val="000000"/>
          <w:sz w:val="24"/>
          <w:szCs w:val="24"/>
        </w:rPr>
        <w:t xml:space="preserve"> according to this sample, </w:t>
      </w:r>
      <w:r w:rsidR="00F43795">
        <w:rPr>
          <w:rFonts w:ascii="Times New Roman" w:eastAsia="Times New Roman" w:hAnsi="Times New Roman" w:cs="Times New Roman"/>
          <w:color w:val="000000"/>
          <w:sz w:val="24"/>
          <w:szCs w:val="24"/>
        </w:rPr>
        <w:t>43.8 percent of the data shows a correlation with the percent black in a city and violent crime</w:t>
      </w:r>
      <w:r w:rsidR="00D41855">
        <w:rPr>
          <w:rFonts w:ascii="Times New Roman" w:eastAsia="Times New Roman" w:hAnsi="Times New Roman" w:cs="Times New Roman"/>
          <w:color w:val="000000"/>
          <w:sz w:val="24"/>
          <w:szCs w:val="24"/>
        </w:rPr>
        <w:t xml:space="preserve"> and 35.7 percent of the Median household income shows a correlation with violent crime</w:t>
      </w:r>
      <w:r w:rsidR="00F43795">
        <w:rPr>
          <w:rFonts w:ascii="Times New Roman" w:eastAsia="Times New Roman" w:hAnsi="Times New Roman" w:cs="Times New Roman"/>
          <w:color w:val="000000"/>
          <w:sz w:val="24"/>
          <w:szCs w:val="24"/>
        </w:rPr>
        <w:t xml:space="preserve">.   </w:t>
      </w:r>
    </w:p>
    <w:p w:rsidR="00971345" w:rsidRDefault="00EA1E85" w:rsidP="00BE0550">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shown in table 1</w:t>
      </w:r>
      <w:r w:rsidR="00107284" w:rsidRPr="00314ADA">
        <w:rPr>
          <w:rFonts w:ascii="Times New Roman" w:eastAsia="Times New Roman" w:hAnsi="Times New Roman" w:cs="Times New Roman"/>
          <w:color w:val="000000"/>
          <w:sz w:val="24"/>
          <w:szCs w:val="24"/>
        </w:rPr>
        <w:t xml:space="preserve">, </w:t>
      </w:r>
      <w:r w:rsidR="00D41855">
        <w:rPr>
          <w:rFonts w:ascii="Times New Roman" w:eastAsia="Times New Roman" w:hAnsi="Times New Roman" w:cs="Times New Roman"/>
          <w:color w:val="000000"/>
          <w:sz w:val="24"/>
          <w:szCs w:val="24"/>
        </w:rPr>
        <w:t>Percent bachelors degree or h</w:t>
      </w:r>
      <w:r w:rsidR="00EF49AC" w:rsidRPr="00314ADA">
        <w:rPr>
          <w:rFonts w:ascii="Times New Roman" w:eastAsia="Times New Roman" w:hAnsi="Times New Roman" w:cs="Times New Roman"/>
          <w:color w:val="000000"/>
          <w:sz w:val="24"/>
          <w:szCs w:val="24"/>
        </w:rPr>
        <w:t>igher</w:t>
      </w:r>
      <w:r w:rsidR="00F43795">
        <w:rPr>
          <w:rFonts w:ascii="Times New Roman" w:eastAsia="Times New Roman" w:hAnsi="Times New Roman" w:cs="Times New Roman"/>
          <w:color w:val="000000"/>
          <w:sz w:val="24"/>
          <w:szCs w:val="24"/>
        </w:rPr>
        <w:t xml:space="preserve"> </w:t>
      </w:r>
      <w:r w:rsidR="00F43795">
        <w:rPr>
          <w:rFonts w:ascii="Times New Roman" w:hAnsi="Times New Roman" w:cs="Times New Roman"/>
          <w:sz w:val="24"/>
          <w:szCs w:val="24"/>
        </w:rPr>
        <w:t>R</w:t>
      </w:r>
      <w:r w:rsidR="00F43795" w:rsidRPr="00EA1E85">
        <w:rPr>
          <w:rFonts w:ascii="Times New Roman" w:hAnsi="Times New Roman" w:cs="Times New Roman"/>
          <w:sz w:val="24"/>
          <w:szCs w:val="24"/>
          <w:vertAlign w:val="superscript"/>
        </w:rPr>
        <w:t>2</w:t>
      </w:r>
      <w:r w:rsidR="00EF49AC" w:rsidRPr="00314ADA">
        <w:rPr>
          <w:rFonts w:ascii="Times New Roman" w:eastAsia="Times New Roman" w:hAnsi="Times New Roman" w:cs="Times New Roman"/>
          <w:color w:val="000000"/>
          <w:sz w:val="24"/>
          <w:szCs w:val="24"/>
        </w:rPr>
        <w:t xml:space="preserve"> (</w:t>
      </w:r>
      <w:r w:rsidR="00F43795">
        <w:rPr>
          <w:rFonts w:ascii="Times New Roman" w:eastAsia="Times New Roman" w:hAnsi="Times New Roman" w:cs="Times New Roman"/>
          <w:color w:val="000000"/>
          <w:sz w:val="24"/>
          <w:szCs w:val="24"/>
        </w:rPr>
        <w:t>0.120</w:t>
      </w:r>
      <w:r w:rsidR="00EF49AC" w:rsidRPr="00314ADA">
        <w:rPr>
          <w:rFonts w:ascii="Times New Roman" w:eastAsia="Times New Roman" w:hAnsi="Times New Roman" w:cs="Times New Roman"/>
          <w:color w:val="000000"/>
          <w:sz w:val="24"/>
          <w:szCs w:val="24"/>
        </w:rPr>
        <w:t xml:space="preserve">) correlates with a reduction in violent crime significantly </w:t>
      </w:r>
      <w:r w:rsidR="00D41855">
        <w:rPr>
          <w:rFonts w:ascii="Times New Roman" w:eastAsia="Times New Roman" w:hAnsi="Times New Roman" w:cs="Times New Roman"/>
          <w:color w:val="000000"/>
          <w:sz w:val="24"/>
          <w:szCs w:val="24"/>
        </w:rPr>
        <w:t>more than Percent high school graduate or h</w:t>
      </w:r>
      <w:r w:rsidR="00EF49AC" w:rsidRPr="00314ADA">
        <w:rPr>
          <w:rFonts w:ascii="Times New Roman" w:eastAsia="Times New Roman" w:hAnsi="Times New Roman" w:cs="Times New Roman"/>
          <w:color w:val="000000"/>
          <w:sz w:val="24"/>
          <w:szCs w:val="24"/>
        </w:rPr>
        <w:t>igher (</w:t>
      </w:r>
      <w:r w:rsidRPr="00314ADA">
        <w:rPr>
          <w:rFonts w:ascii="Times New Roman" w:eastAsia="Times New Roman" w:hAnsi="Times New Roman" w:cs="Times New Roman"/>
          <w:color w:val="000000"/>
          <w:sz w:val="24"/>
          <w:szCs w:val="24"/>
        </w:rPr>
        <w:t>0.026</w:t>
      </w:r>
      <w:r w:rsidR="00EF49AC" w:rsidRPr="00314ADA">
        <w:rPr>
          <w:rFonts w:ascii="Times New Roman" w:eastAsia="Times New Roman" w:hAnsi="Times New Roman" w:cs="Times New Roman"/>
          <w:color w:val="000000"/>
          <w:sz w:val="24"/>
          <w:szCs w:val="24"/>
        </w:rPr>
        <w:t xml:space="preserve">).  In fact, one the surprising findings in this report is how little high school graduation rate </w:t>
      </w:r>
      <w:r w:rsidR="00F43795">
        <w:rPr>
          <w:rFonts w:ascii="Times New Roman" w:eastAsia="Times New Roman" w:hAnsi="Times New Roman" w:cs="Times New Roman"/>
          <w:color w:val="000000"/>
          <w:sz w:val="24"/>
          <w:szCs w:val="24"/>
        </w:rPr>
        <w:t>and</w:t>
      </w:r>
      <w:r w:rsidR="00EF49AC" w:rsidRPr="00314ADA">
        <w:rPr>
          <w:rFonts w:ascii="Times New Roman" w:eastAsia="Times New Roman" w:hAnsi="Times New Roman" w:cs="Times New Roman"/>
          <w:color w:val="000000"/>
          <w:sz w:val="24"/>
          <w:szCs w:val="24"/>
        </w:rPr>
        <w:t xml:space="preserve"> violent crime rate</w:t>
      </w:r>
      <w:r w:rsidR="00F43795">
        <w:rPr>
          <w:rFonts w:ascii="Times New Roman" w:eastAsia="Times New Roman" w:hAnsi="Times New Roman" w:cs="Times New Roman"/>
          <w:color w:val="000000"/>
          <w:sz w:val="24"/>
          <w:szCs w:val="24"/>
        </w:rPr>
        <w:t xml:space="preserve"> correlate</w:t>
      </w:r>
      <w:r w:rsidR="00EF49AC" w:rsidRPr="00314ADA">
        <w:rPr>
          <w:rFonts w:ascii="Times New Roman" w:eastAsia="Times New Roman" w:hAnsi="Times New Roman" w:cs="Times New Roman"/>
          <w:color w:val="000000"/>
          <w:sz w:val="24"/>
          <w:szCs w:val="24"/>
        </w:rPr>
        <w:t>.</w:t>
      </w:r>
    </w:p>
    <w:p w:rsidR="00F43795" w:rsidRPr="00EA1E85" w:rsidRDefault="00E044A9" w:rsidP="00B875E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rsidR="0001124C" w:rsidRPr="00314ADA" w:rsidRDefault="00B9233A" w:rsidP="00060ED0">
      <w:pPr>
        <w:spacing w:line="240" w:lineRule="auto"/>
        <w:jc w:val="center"/>
        <w:rPr>
          <w:rFonts w:ascii="Times New Roman" w:hAnsi="Times New Roman" w:cs="Times New Roman"/>
          <w:sz w:val="24"/>
          <w:szCs w:val="24"/>
          <w:u w:val="single"/>
        </w:rPr>
      </w:pPr>
      <w:r w:rsidRPr="00314ADA">
        <w:rPr>
          <w:rFonts w:ascii="Times New Roman" w:hAnsi="Times New Roman" w:cs="Times New Roman"/>
          <w:sz w:val="24"/>
          <w:szCs w:val="24"/>
          <w:u w:val="single"/>
        </w:rPr>
        <w:lastRenderedPageBreak/>
        <w:t>Table 1</w:t>
      </w:r>
      <w:r w:rsidR="005B07F3" w:rsidRPr="00314ADA">
        <w:rPr>
          <w:rFonts w:ascii="Times New Roman" w:hAnsi="Times New Roman" w:cs="Times New Roman"/>
          <w:sz w:val="24"/>
          <w:szCs w:val="24"/>
          <w:u w:val="single"/>
        </w:rPr>
        <w:t xml:space="preserve"> - </w:t>
      </w:r>
      <w:r w:rsidR="0001124C" w:rsidRPr="00314ADA">
        <w:rPr>
          <w:rFonts w:ascii="Times New Roman" w:hAnsi="Times New Roman" w:cs="Times New Roman"/>
          <w:sz w:val="24"/>
          <w:szCs w:val="24"/>
          <w:u w:val="single"/>
        </w:rPr>
        <w:t>Selected Factors Correlated with Violent Crime</w:t>
      </w:r>
    </w:p>
    <w:tbl>
      <w:tblPr>
        <w:tblW w:w="7656" w:type="dxa"/>
        <w:tblInd w:w="862" w:type="dxa"/>
        <w:tblLook w:val="04A0"/>
      </w:tblPr>
      <w:tblGrid>
        <w:gridCol w:w="5740"/>
        <w:gridCol w:w="956"/>
        <w:gridCol w:w="960"/>
      </w:tblGrid>
      <w:tr w:rsidR="007B4E7D" w:rsidRPr="00314ADA" w:rsidTr="00A04856">
        <w:trPr>
          <w:trHeight w:val="300"/>
        </w:trPr>
        <w:tc>
          <w:tcPr>
            <w:tcW w:w="5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center"/>
              <w:rPr>
                <w:rFonts w:ascii="Times New Roman" w:eastAsia="Times New Roman" w:hAnsi="Times New Roman" w:cs="Times New Roman"/>
                <w:b/>
                <w:bCs/>
                <w:color w:val="000000"/>
                <w:sz w:val="24"/>
                <w:szCs w:val="24"/>
              </w:rPr>
            </w:pPr>
            <w:r w:rsidRPr="00314ADA">
              <w:rPr>
                <w:rFonts w:ascii="Times New Roman" w:eastAsia="Times New Roman" w:hAnsi="Times New Roman" w:cs="Times New Roman"/>
                <w:b/>
                <w:bCs/>
                <w:color w:val="000000"/>
                <w:sz w:val="24"/>
                <w:szCs w:val="24"/>
              </w:rPr>
              <w:t>Factor</w:t>
            </w:r>
          </w:p>
        </w:tc>
        <w:tc>
          <w:tcPr>
            <w:tcW w:w="956" w:type="dxa"/>
            <w:tcBorders>
              <w:top w:val="single" w:sz="4" w:space="0" w:color="auto"/>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center"/>
              <w:rPr>
                <w:rFonts w:ascii="Times New Roman" w:eastAsia="Times New Roman" w:hAnsi="Times New Roman" w:cs="Times New Roman"/>
                <w:b/>
                <w:bCs/>
                <w:color w:val="000000"/>
                <w:sz w:val="24"/>
                <w:szCs w:val="24"/>
              </w:rPr>
            </w:pPr>
            <w:r w:rsidRPr="00314ADA">
              <w:rPr>
                <w:rFonts w:ascii="Times New Roman" w:eastAsia="Times New Roman" w:hAnsi="Times New Roman" w:cs="Times New Roman"/>
                <w:b/>
                <w:bCs/>
                <w:color w:val="000000"/>
                <w:sz w:val="24"/>
                <w:szCs w:val="24"/>
              </w:rPr>
              <w:t xml:space="preserve">R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center"/>
              <w:rPr>
                <w:rFonts w:ascii="Times New Roman" w:eastAsia="Times New Roman" w:hAnsi="Times New Roman" w:cs="Times New Roman"/>
                <w:b/>
                <w:bCs/>
                <w:color w:val="000000"/>
                <w:sz w:val="24"/>
                <w:szCs w:val="24"/>
              </w:rPr>
            </w:pPr>
            <w:r w:rsidRPr="00314ADA">
              <w:rPr>
                <w:rFonts w:ascii="Times New Roman" w:eastAsia="Times New Roman" w:hAnsi="Times New Roman" w:cs="Times New Roman"/>
                <w:b/>
                <w:bCs/>
                <w:color w:val="000000"/>
                <w:sz w:val="24"/>
                <w:szCs w:val="24"/>
              </w:rPr>
              <w:t>R</w:t>
            </w:r>
            <w:r w:rsidRPr="00314ADA">
              <w:rPr>
                <w:rFonts w:ascii="Times New Roman" w:eastAsia="Times New Roman" w:hAnsi="Times New Roman" w:cs="Times New Roman"/>
                <w:b/>
                <w:bCs/>
                <w:color w:val="000000"/>
                <w:sz w:val="24"/>
                <w:szCs w:val="24"/>
                <w:vertAlign w:val="superscript"/>
              </w:rPr>
              <w:t>2</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Violent Crime Rate per 100,000</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1.000</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1.000</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Percent Black</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0.662</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0.438</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Median household Income (2008 Inflation adjusted Dollars)</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-0.597</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0.357</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Male, Now Married except separated</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-0.550</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0.302</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Individuals below poverty level</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0.481</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0.232</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Owner occupied housing units</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-0.402</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0.162</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Percent Bachelors Degree or Higher</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-0.346</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0.120</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 xml:space="preserve">Percent Hispanic or </w:t>
            </w:r>
            <w:proofErr w:type="spellStart"/>
            <w:r w:rsidRPr="00314ADA">
              <w:rPr>
                <w:rFonts w:ascii="Times New Roman" w:eastAsia="Times New Roman" w:hAnsi="Times New Roman" w:cs="Times New Roman"/>
                <w:color w:val="000000"/>
                <w:sz w:val="24"/>
                <w:szCs w:val="24"/>
              </w:rPr>
              <w:t>latino</w:t>
            </w:r>
            <w:proofErr w:type="spellEnd"/>
            <w:r w:rsidRPr="00314ADA">
              <w:rPr>
                <w:rFonts w:ascii="Times New Roman" w:eastAsia="Times New Roman" w:hAnsi="Times New Roman" w:cs="Times New Roman"/>
                <w:color w:val="000000"/>
                <w:sz w:val="24"/>
                <w:szCs w:val="24"/>
              </w:rPr>
              <w:t xml:space="preserve"> of any race</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-0.344</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0.118</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 xml:space="preserve">Average </w:t>
            </w:r>
            <w:proofErr w:type="spellStart"/>
            <w:r w:rsidRPr="00314ADA">
              <w:rPr>
                <w:rFonts w:ascii="Times New Roman" w:eastAsia="Times New Roman" w:hAnsi="Times New Roman" w:cs="Times New Roman"/>
                <w:color w:val="000000"/>
                <w:sz w:val="24"/>
                <w:szCs w:val="24"/>
              </w:rPr>
              <w:t>Houshold</w:t>
            </w:r>
            <w:proofErr w:type="spellEnd"/>
            <w:r w:rsidRPr="00314ADA">
              <w:rPr>
                <w:rFonts w:ascii="Times New Roman" w:eastAsia="Times New Roman" w:hAnsi="Times New Roman" w:cs="Times New Roman"/>
                <w:color w:val="000000"/>
                <w:sz w:val="24"/>
                <w:szCs w:val="24"/>
              </w:rPr>
              <w:t xml:space="preserve"> Size</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-0.334</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0.111</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Percent White</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-0.318</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0.101</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Population</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-0.271</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0.074</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In labor force (population 16 years and older)</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-0.211</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0.045</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Percent High School Graduate or Higher</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-0.161</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0.026</w:t>
            </w:r>
          </w:p>
        </w:tc>
      </w:tr>
      <w:tr w:rsidR="007B4E7D" w:rsidRPr="00314ADA" w:rsidTr="00A04856">
        <w:trPr>
          <w:trHeight w:val="300"/>
        </w:trPr>
        <w:tc>
          <w:tcPr>
            <w:tcW w:w="5740" w:type="dxa"/>
            <w:tcBorders>
              <w:top w:val="nil"/>
              <w:left w:val="single" w:sz="4" w:space="0" w:color="auto"/>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Median Age</w:t>
            </w:r>
          </w:p>
        </w:tc>
        <w:tc>
          <w:tcPr>
            <w:tcW w:w="956"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-0.063</w:t>
            </w:r>
          </w:p>
        </w:tc>
        <w:tc>
          <w:tcPr>
            <w:tcW w:w="960" w:type="dxa"/>
            <w:tcBorders>
              <w:top w:val="nil"/>
              <w:left w:val="nil"/>
              <w:bottom w:val="single" w:sz="4" w:space="0" w:color="auto"/>
              <w:right w:val="single" w:sz="4" w:space="0" w:color="auto"/>
            </w:tcBorders>
            <w:shd w:val="clear" w:color="auto" w:fill="auto"/>
            <w:noWrap/>
            <w:vAlign w:val="bottom"/>
            <w:hideMark/>
          </w:tcPr>
          <w:p w:rsidR="007B4E7D" w:rsidRPr="00314ADA" w:rsidRDefault="007B4E7D" w:rsidP="007B4E7D">
            <w:pPr>
              <w:spacing w:after="0" w:line="240" w:lineRule="auto"/>
              <w:jc w:val="right"/>
              <w:rPr>
                <w:rFonts w:ascii="Times New Roman" w:eastAsia="Times New Roman" w:hAnsi="Times New Roman" w:cs="Times New Roman"/>
                <w:color w:val="000000"/>
                <w:sz w:val="24"/>
                <w:szCs w:val="24"/>
              </w:rPr>
            </w:pPr>
            <w:r w:rsidRPr="00314ADA">
              <w:rPr>
                <w:rFonts w:ascii="Times New Roman" w:eastAsia="Times New Roman" w:hAnsi="Times New Roman" w:cs="Times New Roman"/>
                <w:color w:val="000000"/>
                <w:sz w:val="24"/>
                <w:szCs w:val="24"/>
              </w:rPr>
              <w:t>0.004</w:t>
            </w:r>
          </w:p>
        </w:tc>
      </w:tr>
    </w:tbl>
    <w:p w:rsidR="00971345" w:rsidRDefault="00971345" w:rsidP="00060ED0">
      <w:pPr>
        <w:spacing w:line="240" w:lineRule="auto"/>
        <w:jc w:val="center"/>
        <w:rPr>
          <w:rFonts w:ascii="Times New Roman" w:hAnsi="Times New Roman" w:cs="Times New Roman"/>
          <w:sz w:val="24"/>
          <w:szCs w:val="24"/>
          <w:u w:val="single"/>
        </w:rPr>
      </w:pPr>
    </w:p>
    <w:p w:rsidR="00682510" w:rsidRDefault="00682510" w:rsidP="00060ED0">
      <w:pPr>
        <w:spacing w:line="240" w:lineRule="auto"/>
        <w:jc w:val="center"/>
        <w:rPr>
          <w:rFonts w:ascii="Times New Roman" w:hAnsi="Times New Roman" w:cs="Times New Roman"/>
          <w:sz w:val="24"/>
          <w:szCs w:val="24"/>
          <w:u w:val="single"/>
        </w:rPr>
      </w:pPr>
    </w:p>
    <w:p w:rsidR="00107284" w:rsidRPr="00B875E5" w:rsidRDefault="007B3A75" w:rsidP="00060ED0">
      <w:pPr>
        <w:spacing w:line="240" w:lineRule="auto"/>
        <w:jc w:val="center"/>
        <w:rPr>
          <w:rFonts w:ascii="Times New Roman" w:hAnsi="Times New Roman" w:cs="Times New Roman"/>
          <w:sz w:val="24"/>
          <w:szCs w:val="24"/>
          <w:u w:val="single"/>
        </w:rPr>
      </w:pPr>
      <w:r w:rsidRPr="00B875E5">
        <w:rPr>
          <w:rFonts w:ascii="Times New Roman" w:hAnsi="Times New Roman" w:cs="Times New Roman"/>
          <w:sz w:val="24"/>
          <w:szCs w:val="24"/>
          <w:u w:val="single"/>
        </w:rPr>
        <w:t xml:space="preserve">Table </w:t>
      </w:r>
      <w:proofErr w:type="gramStart"/>
      <w:r w:rsidRPr="00B875E5">
        <w:rPr>
          <w:rFonts w:ascii="Times New Roman" w:hAnsi="Times New Roman" w:cs="Times New Roman"/>
          <w:sz w:val="24"/>
          <w:szCs w:val="24"/>
          <w:u w:val="single"/>
        </w:rPr>
        <w:t>2  -</w:t>
      </w:r>
      <w:proofErr w:type="gramEnd"/>
      <w:r w:rsidRPr="00B875E5">
        <w:rPr>
          <w:rFonts w:ascii="Times New Roman" w:hAnsi="Times New Roman" w:cs="Times New Roman"/>
          <w:sz w:val="24"/>
          <w:szCs w:val="24"/>
          <w:u w:val="single"/>
        </w:rPr>
        <w:t xml:space="preserve"> Regression Statistics</w:t>
      </w:r>
    </w:p>
    <w:tbl>
      <w:tblPr>
        <w:tblW w:w="2660" w:type="dxa"/>
        <w:jc w:val="center"/>
        <w:tblInd w:w="96" w:type="dxa"/>
        <w:tblLook w:val="04A0"/>
      </w:tblPr>
      <w:tblGrid>
        <w:gridCol w:w="1700"/>
        <w:gridCol w:w="1129"/>
      </w:tblGrid>
      <w:tr w:rsidR="00F14D09" w:rsidRPr="003F0C6A" w:rsidTr="00F14D09">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14D09" w:rsidRPr="003F0C6A" w:rsidRDefault="00F14D09" w:rsidP="00F14D09">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Multiple R</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14D09" w:rsidRPr="003F0C6A" w:rsidRDefault="00F14D09" w:rsidP="00F14D09">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0.789411</w:t>
            </w:r>
          </w:p>
        </w:tc>
      </w:tr>
      <w:tr w:rsidR="00F14D09" w:rsidRPr="003F0C6A" w:rsidTr="00F14D09">
        <w:trPr>
          <w:trHeight w:val="288"/>
          <w:jc w:val="center"/>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14D09" w:rsidRPr="003F0C6A" w:rsidRDefault="00F14D09" w:rsidP="00F14D09">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R Square</w:t>
            </w:r>
          </w:p>
        </w:tc>
        <w:tc>
          <w:tcPr>
            <w:tcW w:w="960" w:type="dxa"/>
            <w:tcBorders>
              <w:top w:val="nil"/>
              <w:left w:val="nil"/>
              <w:bottom w:val="single" w:sz="4" w:space="0" w:color="auto"/>
              <w:right w:val="single" w:sz="4" w:space="0" w:color="auto"/>
            </w:tcBorders>
            <w:shd w:val="clear" w:color="auto" w:fill="auto"/>
            <w:noWrap/>
            <w:vAlign w:val="bottom"/>
            <w:hideMark/>
          </w:tcPr>
          <w:p w:rsidR="00F14D09" w:rsidRPr="003F0C6A" w:rsidRDefault="00F14D09" w:rsidP="00F14D09">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0.623169</w:t>
            </w:r>
          </w:p>
        </w:tc>
      </w:tr>
      <w:tr w:rsidR="00F14D09" w:rsidRPr="003F0C6A" w:rsidTr="00F14D09">
        <w:trPr>
          <w:trHeight w:val="288"/>
          <w:jc w:val="center"/>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14D09" w:rsidRPr="003F0C6A" w:rsidRDefault="00F14D09" w:rsidP="00F14D09">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Adjusted R Square</w:t>
            </w:r>
          </w:p>
        </w:tc>
        <w:tc>
          <w:tcPr>
            <w:tcW w:w="960" w:type="dxa"/>
            <w:tcBorders>
              <w:top w:val="nil"/>
              <w:left w:val="nil"/>
              <w:bottom w:val="single" w:sz="4" w:space="0" w:color="auto"/>
              <w:right w:val="single" w:sz="4" w:space="0" w:color="auto"/>
            </w:tcBorders>
            <w:shd w:val="clear" w:color="auto" w:fill="auto"/>
            <w:noWrap/>
            <w:vAlign w:val="bottom"/>
            <w:hideMark/>
          </w:tcPr>
          <w:p w:rsidR="00F14D09" w:rsidRPr="003F0C6A" w:rsidRDefault="00F14D09" w:rsidP="00F14D09">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0.455689</w:t>
            </w:r>
          </w:p>
        </w:tc>
      </w:tr>
      <w:tr w:rsidR="00F14D09" w:rsidRPr="003F0C6A" w:rsidTr="00F14D09">
        <w:trPr>
          <w:trHeight w:val="288"/>
          <w:jc w:val="center"/>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14D09" w:rsidRPr="003F0C6A" w:rsidRDefault="00F14D09" w:rsidP="00F14D09">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Standard Error</w:t>
            </w:r>
          </w:p>
        </w:tc>
        <w:tc>
          <w:tcPr>
            <w:tcW w:w="960" w:type="dxa"/>
            <w:tcBorders>
              <w:top w:val="nil"/>
              <w:left w:val="nil"/>
              <w:bottom w:val="single" w:sz="4" w:space="0" w:color="auto"/>
              <w:right w:val="single" w:sz="4" w:space="0" w:color="auto"/>
            </w:tcBorders>
            <w:shd w:val="clear" w:color="auto" w:fill="auto"/>
            <w:noWrap/>
            <w:vAlign w:val="bottom"/>
            <w:hideMark/>
          </w:tcPr>
          <w:p w:rsidR="00F14D09" w:rsidRPr="003F0C6A" w:rsidRDefault="00F14D09" w:rsidP="00F14D09">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271.4786</w:t>
            </w:r>
          </w:p>
        </w:tc>
      </w:tr>
      <w:tr w:rsidR="00F14D09" w:rsidRPr="003F0C6A" w:rsidTr="00F14D09">
        <w:trPr>
          <w:trHeight w:val="288"/>
          <w:jc w:val="center"/>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14D09" w:rsidRPr="003F0C6A" w:rsidRDefault="00F14D09" w:rsidP="00F14D09">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Observations</w:t>
            </w:r>
          </w:p>
        </w:tc>
        <w:tc>
          <w:tcPr>
            <w:tcW w:w="960" w:type="dxa"/>
            <w:tcBorders>
              <w:top w:val="nil"/>
              <w:left w:val="nil"/>
              <w:bottom w:val="single" w:sz="4" w:space="0" w:color="auto"/>
              <w:right w:val="single" w:sz="4" w:space="0" w:color="auto"/>
            </w:tcBorders>
            <w:shd w:val="clear" w:color="auto" w:fill="auto"/>
            <w:noWrap/>
            <w:vAlign w:val="bottom"/>
            <w:hideMark/>
          </w:tcPr>
          <w:p w:rsidR="00F14D09" w:rsidRPr="003F0C6A" w:rsidRDefault="00F14D09" w:rsidP="00F14D09">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40</w:t>
            </w:r>
          </w:p>
        </w:tc>
      </w:tr>
    </w:tbl>
    <w:p w:rsidR="007B3A75" w:rsidRDefault="007B3A75" w:rsidP="00060ED0">
      <w:pPr>
        <w:spacing w:line="240" w:lineRule="auto"/>
        <w:jc w:val="center"/>
        <w:rPr>
          <w:rFonts w:ascii="Times New Roman" w:hAnsi="Times New Roman" w:cs="Times New Roman"/>
          <w:sz w:val="24"/>
          <w:szCs w:val="24"/>
        </w:rPr>
      </w:pPr>
    </w:p>
    <w:p w:rsidR="00BC26B8" w:rsidRDefault="00BC26B8" w:rsidP="00060ED0">
      <w:pPr>
        <w:spacing w:line="240" w:lineRule="auto"/>
        <w:jc w:val="center"/>
        <w:rPr>
          <w:rFonts w:ascii="Times New Roman" w:hAnsi="Times New Roman" w:cs="Times New Roman"/>
          <w:sz w:val="24"/>
          <w:szCs w:val="24"/>
        </w:rPr>
      </w:pPr>
    </w:p>
    <w:p w:rsidR="00BC26B8" w:rsidRPr="005356C0" w:rsidRDefault="00BC26B8" w:rsidP="00BC26B8">
      <w:pPr>
        <w:spacing w:line="240" w:lineRule="auto"/>
        <w:jc w:val="center"/>
        <w:rPr>
          <w:rFonts w:ascii="Times New Roman" w:hAnsi="Times New Roman" w:cs="Times New Roman"/>
          <w:sz w:val="24"/>
          <w:szCs w:val="24"/>
          <w:u w:val="single"/>
        </w:rPr>
      </w:pPr>
      <w:r w:rsidRPr="005356C0">
        <w:rPr>
          <w:rFonts w:ascii="Times New Roman" w:hAnsi="Times New Roman" w:cs="Times New Roman"/>
          <w:sz w:val="24"/>
          <w:szCs w:val="24"/>
          <w:u w:val="single"/>
        </w:rPr>
        <w:t>Table 3 - ANOVA</w:t>
      </w:r>
    </w:p>
    <w:tbl>
      <w:tblPr>
        <w:tblW w:w="6240" w:type="dxa"/>
        <w:jc w:val="center"/>
        <w:tblInd w:w="96" w:type="dxa"/>
        <w:tblLook w:val="04A0"/>
      </w:tblPr>
      <w:tblGrid>
        <w:gridCol w:w="1278"/>
        <w:gridCol w:w="960"/>
        <w:gridCol w:w="1068"/>
        <w:gridCol w:w="1129"/>
        <w:gridCol w:w="1129"/>
        <w:gridCol w:w="1493"/>
      </w:tblGrid>
      <w:tr w:rsidR="00BC26B8" w:rsidRPr="003F0C6A" w:rsidTr="005356C0">
        <w:trPr>
          <w:trHeight w:val="288"/>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center"/>
              <w:rPr>
                <w:rFonts w:ascii="Calibri" w:eastAsia="Times New Roman" w:hAnsi="Calibri" w:cs="Times New Roman"/>
                <w:i/>
                <w:iCs/>
                <w:color w:val="000000"/>
                <w:sz w:val="24"/>
                <w:szCs w:val="24"/>
              </w:rPr>
            </w:pPr>
            <w:r w:rsidRPr="003F0C6A">
              <w:rPr>
                <w:rFonts w:ascii="Calibri" w:eastAsia="Times New Roman" w:hAnsi="Calibri" w:cs="Times New Roman"/>
                <w:i/>
                <w:iCs/>
                <w:color w:val="000000"/>
                <w:sz w:val="24"/>
                <w:szCs w:val="24"/>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center"/>
              <w:rPr>
                <w:rFonts w:ascii="Calibri" w:eastAsia="Times New Roman" w:hAnsi="Calibri" w:cs="Times New Roman"/>
                <w:i/>
                <w:iCs/>
                <w:color w:val="000000"/>
                <w:sz w:val="24"/>
                <w:szCs w:val="24"/>
              </w:rPr>
            </w:pPr>
            <w:proofErr w:type="spellStart"/>
            <w:r w:rsidRPr="003F0C6A">
              <w:rPr>
                <w:rFonts w:ascii="Calibri" w:eastAsia="Times New Roman" w:hAnsi="Calibri" w:cs="Times New Roman"/>
                <w:i/>
                <w:iCs/>
                <w:color w:val="000000"/>
                <w:sz w:val="24"/>
                <w:szCs w:val="24"/>
              </w:rPr>
              <w:t>df</w:t>
            </w:r>
            <w:proofErr w:type="spellEnd"/>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center"/>
              <w:rPr>
                <w:rFonts w:ascii="Calibri" w:eastAsia="Times New Roman" w:hAnsi="Calibri" w:cs="Times New Roman"/>
                <w:i/>
                <w:iCs/>
                <w:color w:val="000000"/>
                <w:sz w:val="24"/>
                <w:szCs w:val="24"/>
              </w:rPr>
            </w:pPr>
            <w:r w:rsidRPr="003F0C6A">
              <w:rPr>
                <w:rFonts w:ascii="Calibri" w:eastAsia="Times New Roman" w:hAnsi="Calibri" w:cs="Times New Roman"/>
                <w:i/>
                <w:iCs/>
                <w:color w:val="000000"/>
                <w:sz w:val="24"/>
                <w:szCs w:val="24"/>
              </w:rPr>
              <w:t>SS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center"/>
              <w:rPr>
                <w:rFonts w:ascii="Calibri" w:eastAsia="Times New Roman" w:hAnsi="Calibri" w:cs="Times New Roman"/>
                <w:i/>
                <w:iCs/>
                <w:color w:val="000000"/>
                <w:sz w:val="24"/>
                <w:szCs w:val="24"/>
              </w:rPr>
            </w:pPr>
            <w:r w:rsidRPr="003F0C6A">
              <w:rPr>
                <w:rFonts w:ascii="Calibri" w:eastAsia="Times New Roman" w:hAnsi="Calibri" w:cs="Times New Roman"/>
                <w:i/>
                <w:iCs/>
                <w:color w:val="000000"/>
                <w:sz w:val="24"/>
                <w:szCs w:val="24"/>
              </w:rPr>
              <w:t>MS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center"/>
              <w:rPr>
                <w:rFonts w:ascii="Calibri" w:eastAsia="Times New Roman" w:hAnsi="Calibri" w:cs="Times New Roman"/>
                <w:i/>
                <w:iCs/>
                <w:color w:val="000000"/>
                <w:sz w:val="24"/>
                <w:szCs w:val="24"/>
              </w:rPr>
            </w:pPr>
            <w:r w:rsidRPr="003F0C6A">
              <w:rPr>
                <w:rFonts w:ascii="Calibri" w:eastAsia="Times New Roman" w:hAnsi="Calibri" w:cs="Times New Roman"/>
                <w:i/>
                <w:iCs/>
                <w:color w:val="000000"/>
                <w:sz w:val="24"/>
                <w:szCs w:val="24"/>
              </w:rPr>
              <w:t>F</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center"/>
              <w:rPr>
                <w:rFonts w:ascii="Calibri" w:eastAsia="Times New Roman" w:hAnsi="Calibri" w:cs="Times New Roman"/>
                <w:i/>
                <w:iCs/>
                <w:color w:val="000000"/>
                <w:sz w:val="24"/>
                <w:szCs w:val="24"/>
              </w:rPr>
            </w:pPr>
            <w:r w:rsidRPr="003F0C6A">
              <w:rPr>
                <w:rFonts w:ascii="Calibri" w:eastAsia="Times New Roman" w:hAnsi="Calibri" w:cs="Times New Roman"/>
                <w:i/>
                <w:iCs/>
                <w:color w:val="000000"/>
                <w:sz w:val="24"/>
                <w:szCs w:val="24"/>
              </w:rPr>
              <w:t>Significance F</w:t>
            </w:r>
          </w:p>
        </w:tc>
      </w:tr>
      <w:tr w:rsidR="00BC26B8" w:rsidRPr="003F0C6A" w:rsidTr="005356C0">
        <w:trPr>
          <w:trHeight w:val="288"/>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Regression</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12</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3290751</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274229.2</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3.720853</w:t>
            </w:r>
          </w:p>
        </w:tc>
        <w:tc>
          <w:tcPr>
            <w:tcW w:w="134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0.002219969</w:t>
            </w:r>
          </w:p>
        </w:tc>
      </w:tr>
      <w:tr w:rsidR="00BC26B8" w:rsidRPr="003F0C6A" w:rsidTr="005356C0">
        <w:trPr>
          <w:trHeight w:val="288"/>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Residual</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27</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1989917</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73700.65</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 </w:t>
            </w:r>
          </w:p>
        </w:tc>
        <w:tc>
          <w:tcPr>
            <w:tcW w:w="134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 </w:t>
            </w:r>
          </w:p>
        </w:tc>
      </w:tr>
      <w:tr w:rsidR="00BC26B8" w:rsidRPr="003F0C6A" w:rsidTr="005356C0">
        <w:trPr>
          <w:trHeight w:val="288"/>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Total</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39</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jc w:val="right"/>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5280668</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 </w:t>
            </w:r>
          </w:p>
        </w:tc>
        <w:tc>
          <w:tcPr>
            <w:tcW w:w="96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 </w:t>
            </w:r>
          </w:p>
        </w:tc>
        <w:tc>
          <w:tcPr>
            <w:tcW w:w="1340" w:type="dxa"/>
            <w:tcBorders>
              <w:top w:val="nil"/>
              <w:left w:val="nil"/>
              <w:bottom w:val="single" w:sz="4" w:space="0" w:color="auto"/>
              <w:right w:val="single" w:sz="4" w:space="0" w:color="auto"/>
            </w:tcBorders>
            <w:shd w:val="clear" w:color="auto" w:fill="auto"/>
            <w:noWrap/>
            <w:vAlign w:val="bottom"/>
            <w:hideMark/>
          </w:tcPr>
          <w:p w:rsidR="00BC26B8" w:rsidRPr="003F0C6A" w:rsidRDefault="00BC26B8" w:rsidP="005356C0">
            <w:pPr>
              <w:spacing w:after="0" w:line="240" w:lineRule="auto"/>
              <w:rPr>
                <w:rFonts w:ascii="Calibri" w:eastAsia="Times New Roman" w:hAnsi="Calibri" w:cs="Times New Roman"/>
                <w:color w:val="000000"/>
                <w:sz w:val="24"/>
                <w:szCs w:val="24"/>
              </w:rPr>
            </w:pPr>
            <w:r w:rsidRPr="003F0C6A">
              <w:rPr>
                <w:rFonts w:ascii="Calibri" w:eastAsia="Times New Roman" w:hAnsi="Calibri" w:cs="Times New Roman"/>
                <w:color w:val="000000"/>
                <w:sz w:val="24"/>
                <w:szCs w:val="24"/>
              </w:rPr>
              <w:t> </w:t>
            </w:r>
          </w:p>
        </w:tc>
      </w:tr>
    </w:tbl>
    <w:p w:rsidR="00BC26B8" w:rsidRDefault="00BC26B8" w:rsidP="00082785">
      <w:pPr>
        <w:spacing w:line="240" w:lineRule="auto"/>
        <w:rPr>
          <w:rFonts w:ascii="Times New Roman" w:hAnsi="Times New Roman" w:cs="Times New Roman"/>
          <w:sz w:val="24"/>
          <w:szCs w:val="24"/>
        </w:rPr>
      </w:pPr>
    </w:p>
    <w:p w:rsidR="00682510" w:rsidRDefault="00B875E5" w:rsidP="00B875E5">
      <w:pPr>
        <w:rPr>
          <w:rFonts w:ascii="Times New Roman" w:hAnsi="Times New Roman" w:cs="Times New Roman"/>
          <w:sz w:val="24"/>
          <w:szCs w:val="24"/>
        </w:rPr>
      </w:pPr>
      <w:r>
        <w:rPr>
          <w:rFonts w:ascii="Times New Roman" w:hAnsi="Times New Roman" w:cs="Times New Roman"/>
          <w:sz w:val="24"/>
          <w:szCs w:val="24"/>
        </w:rPr>
        <w:br w:type="page"/>
      </w:r>
    </w:p>
    <w:p w:rsidR="005B07F3" w:rsidRPr="00B875E5" w:rsidRDefault="00BC26B8" w:rsidP="00682510">
      <w:pPr>
        <w:jc w:val="center"/>
        <w:rPr>
          <w:rFonts w:ascii="Times New Roman" w:hAnsi="Times New Roman" w:cs="Times New Roman"/>
          <w:sz w:val="24"/>
          <w:szCs w:val="24"/>
        </w:rPr>
      </w:pPr>
      <w:r w:rsidRPr="00B875E5">
        <w:rPr>
          <w:rFonts w:ascii="Times New Roman" w:hAnsi="Times New Roman" w:cs="Times New Roman"/>
          <w:sz w:val="24"/>
          <w:szCs w:val="24"/>
          <w:u w:val="single"/>
        </w:rPr>
        <w:lastRenderedPageBreak/>
        <w:t>Table 4</w:t>
      </w:r>
      <w:r w:rsidR="00B9233A" w:rsidRPr="00B875E5">
        <w:rPr>
          <w:rFonts w:ascii="Times New Roman" w:hAnsi="Times New Roman" w:cs="Times New Roman"/>
          <w:sz w:val="24"/>
          <w:szCs w:val="24"/>
          <w:u w:val="single"/>
        </w:rPr>
        <w:t xml:space="preserve"> – Regression analysis (Confidence Level of 95%)</w:t>
      </w:r>
    </w:p>
    <w:tbl>
      <w:tblPr>
        <w:tblW w:w="9300" w:type="dxa"/>
        <w:tblInd w:w="93" w:type="dxa"/>
        <w:tblLook w:val="04A0"/>
      </w:tblPr>
      <w:tblGrid>
        <w:gridCol w:w="4605"/>
        <w:gridCol w:w="1376"/>
        <w:gridCol w:w="1414"/>
        <w:gridCol w:w="990"/>
        <w:gridCol w:w="915"/>
      </w:tblGrid>
      <w:tr w:rsidR="00A04856" w:rsidRPr="00314ADA" w:rsidTr="00682510">
        <w:trPr>
          <w:trHeight w:val="300"/>
        </w:trPr>
        <w:tc>
          <w:tcPr>
            <w:tcW w:w="46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04856" w:rsidRPr="00314ADA" w:rsidRDefault="00A04856" w:rsidP="00A04856">
            <w:pPr>
              <w:spacing w:after="0" w:line="240" w:lineRule="auto"/>
              <w:jc w:val="center"/>
              <w:rPr>
                <w:rFonts w:ascii="Calibri" w:eastAsia="Times New Roman" w:hAnsi="Calibri" w:cs="Times New Roman"/>
                <w:i/>
                <w:iCs/>
                <w:color w:val="000000"/>
                <w:sz w:val="24"/>
                <w:szCs w:val="24"/>
              </w:rPr>
            </w:pPr>
            <w:r w:rsidRPr="00314ADA">
              <w:rPr>
                <w:rFonts w:ascii="Calibri" w:eastAsia="Times New Roman" w:hAnsi="Calibri" w:cs="Times New Roman"/>
                <w:i/>
                <w:iCs/>
                <w:color w:val="000000"/>
                <w:sz w:val="24"/>
                <w:szCs w:val="24"/>
              </w:rPr>
              <w:t> </w:t>
            </w:r>
          </w:p>
        </w:tc>
        <w:tc>
          <w:tcPr>
            <w:tcW w:w="1376" w:type="dxa"/>
            <w:tcBorders>
              <w:top w:val="single" w:sz="4" w:space="0" w:color="auto"/>
              <w:left w:val="nil"/>
              <w:bottom w:val="single" w:sz="4" w:space="0" w:color="auto"/>
              <w:right w:val="single" w:sz="4" w:space="0" w:color="auto"/>
            </w:tcBorders>
            <w:shd w:val="clear" w:color="auto" w:fill="auto"/>
            <w:noWrap/>
            <w:vAlign w:val="bottom"/>
            <w:hideMark/>
          </w:tcPr>
          <w:p w:rsidR="00A04856" w:rsidRPr="00314ADA" w:rsidRDefault="00A04856" w:rsidP="00A04856">
            <w:pPr>
              <w:spacing w:after="0" w:line="240" w:lineRule="auto"/>
              <w:jc w:val="center"/>
              <w:rPr>
                <w:rFonts w:ascii="Calibri" w:eastAsia="Times New Roman" w:hAnsi="Calibri" w:cs="Times New Roman"/>
                <w:b/>
                <w:bCs/>
                <w:i/>
                <w:iCs/>
                <w:color w:val="000000"/>
                <w:sz w:val="24"/>
                <w:szCs w:val="24"/>
              </w:rPr>
            </w:pPr>
            <w:r w:rsidRPr="00314ADA">
              <w:rPr>
                <w:rFonts w:ascii="Calibri" w:eastAsia="Times New Roman" w:hAnsi="Calibri" w:cs="Times New Roman"/>
                <w:b/>
                <w:bCs/>
                <w:i/>
                <w:iCs/>
                <w:color w:val="000000"/>
                <w:sz w:val="24"/>
                <w:szCs w:val="24"/>
              </w:rPr>
              <w:t>Coefficients</w:t>
            </w:r>
          </w:p>
        </w:tc>
        <w:tc>
          <w:tcPr>
            <w:tcW w:w="1414" w:type="dxa"/>
            <w:tcBorders>
              <w:top w:val="single" w:sz="4" w:space="0" w:color="auto"/>
              <w:left w:val="nil"/>
              <w:bottom w:val="single" w:sz="4" w:space="0" w:color="auto"/>
              <w:right w:val="single" w:sz="4" w:space="0" w:color="auto"/>
            </w:tcBorders>
            <w:shd w:val="clear" w:color="auto" w:fill="auto"/>
            <w:noWrap/>
            <w:vAlign w:val="bottom"/>
            <w:hideMark/>
          </w:tcPr>
          <w:p w:rsidR="00A04856" w:rsidRPr="00314ADA" w:rsidRDefault="00A04856" w:rsidP="00A04856">
            <w:pPr>
              <w:spacing w:after="0" w:line="240" w:lineRule="auto"/>
              <w:jc w:val="center"/>
              <w:rPr>
                <w:rFonts w:ascii="Calibri" w:eastAsia="Times New Roman" w:hAnsi="Calibri" w:cs="Times New Roman"/>
                <w:b/>
                <w:bCs/>
                <w:i/>
                <w:iCs/>
                <w:color w:val="000000"/>
                <w:sz w:val="24"/>
                <w:szCs w:val="24"/>
              </w:rPr>
            </w:pPr>
            <w:r w:rsidRPr="00314ADA">
              <w:rPr>
                <w:rFonts w:ascii="Calibri" w:eastAsia="Times New Roman" w:hAnsi="Calibri" w:cs="Times New Roman"/>
                <w:b/>
                <w:bCs/>
                <w:i/>
                <w:iCs/>
                <w:color w:val="000000"/>
                <w:sz w:val="24"/>
                <w:szCs w:val="24"/>
              </w:rPr>
              <w:t>Standard Error</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A04856" w:rsidRPr="00314ADA" w:rsidRDefault="00A04856" w:rsidP="00A04856">
            <w:pPr>
              <w:spacing w:after="0" w:line="240" w:lineRule="auto"/>
              <w:jc w:val="center"/>
              <w:rPr>
                <w:rFonts w:ascii="Calibri" w:eastAsia="Times New Roman" w:hAnsi="Calibri" w:cs="Times New Roman"/>
                <w:b/>
                <w:bCs/>
                <w:i/>
                <w:iCs/>
                <w:color w:val="000000"/>
                <w:sz w:val="24"/>
                <w:szCs w:val="24"/>
              </w:rPr>
            </w:pPr>
            <w:r w:rsidRPr="00314ADA">
              <w:rPr>
                <w:rFonts w:ascii="Calibri" w:eastAsia="Times New Roman" w:hAnsi="Calibri" w:cs="Times New Roman"/>
                <w:b/>
                <w:bCs/>
                <w:i/>
                <w:iCs/>
                <w:color w:val="000000"/>
                <w:sz w:val="24"/>
                <w:szCs w:val="24"/>
              </w:rPr>
              <w:t>t Stat</w:t>
            </w:r>
          </w:p>
        </w:tc>
        <w:tc>
          <w:tcPr>
            <w:tcW w:w="915" w:type="dxa"/>
            <w:tcBorders>
              <w:top w:val="single" w:sz="4" w:space="0" w:color="auto"/>
              <w:left w:val="nil"/>
              <w:bottom w:val="single" w:sz="4" w:space="0" w:color="auto"/>
              <w:right w:val="single" w:sz="4" w:space="0" w:color="auto"/>
            </w:tcBorders>
            <w:shd w:val="clear" w:color="auto" w:fill="auto"/>
            <w:noWrap/>
            <w:vAlign w:val="bottom"/>
            <w:hideMark/>
          </w:tcPr>
          <w:p w:rsidR="00A04856" w:rsidRPr="00314ADA" w:rsidRDefault="00A04856" w:rsidP="00A04856">
            <w:pPr>
              <w:spacing w:after="0" w:line="240" w:lineRule="auto"/>
              <w:jc w:val="center"/>
              <w:rPr>
                <w:rFonts w:ascii="Calibri" w:eastAsia="Times New Roman" w:hAnsi="Calibri" w:cs="Times New Roman"/>
                <w:b/>
                <w:bCs/>
                <w:i/>
                <w:iCs/>
                <w:color w:val="000000"/>
                <w:sz w:val="24"/>
                <w:szCs w:val="24"/>
              </w:rPr>
            </w:pPr>
            <w:r w:rsidRPr="00314ADA">
              <w:rPr>
                <w:rFonts w:ascii="Calibri" w:eastAsia="Times New Roman" w:hAnsi="Calibri" w:cs="Times New Roman"/>
                <w:b/>
                <w:bCs/>
                <w:i/>
                <w:iCs/>
                <w:color w:val="000000"/>
                <w:sz w:val="24"/>
                <w:szCs w:val="24"/>
              </w:rPr>
              <w:t>P-value</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Intercept</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1500.045</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3381.484</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0.444</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0.661</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Percent High School Graduate or Higher</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145.749</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2638.933</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0.055</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0.956</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Percent Bachelors Degree or Higher</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-1333.251</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1126.789</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-1.183</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0.247</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Male, Now Married except separated</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-698.469</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1836.300</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-0.380</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0.707</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In labor force (population 16 years and older)</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1709.194</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2143.706</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0.797</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0.432</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Median household Income (2008 Inflation adjusted Dollars)</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-0.019</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0.013</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-1.472</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0.152</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Individuals below poverty level</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-2248.916</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2708.287</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-0.830</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0.414</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Owner occupied housing units</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-982.070</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1291.986</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-0.760</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0.454</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Median Age</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4.244</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26.411</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0.161</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0.874</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Percent White</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326.924</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618.178</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0.529</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0.601</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Percent Black</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1005.689</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654.017</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1.538</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0.136</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61385B"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Percent Hispanic or L</w:t>
            </w:r>
            <w:r w:rsidR="00A04856" w:rsidRPr="00B875E5">
              <w:rPr>
                <w:rFonts w:ascii="Calibri" w:eastAsia="Times New Roman" w:hAnsi="Calibri" w:cs="Times New Roman"/>
                <w:sz w:val="24"/>
                <w:szCs w:val="24"/>
              </w:rPr>
              <w:t>atino of any race</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-129.270</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603.532</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-0.214</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0.832</w:t>
            </w:r>
          </w:p>
        </w:tc>
      </w:tr>
      <w:tr w:rsidR="00A04856" w:rsidRPr="00314ADA" w:rsidTr="00682510">
        <w:trPr>
          <w:trHeight w:val="300"/>
        </w:trPr>
        <w:tc>
          <w:tcPr>
            <w:tcW w:w="4605" w:type="dxa"/>
            <w:tcBorders>
              <w:top w:val="nil"/>
              <w:left w:val="single" w:sz="4" w:space="0" w:color="auto"/>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rPr>
                <w:rFonts w:ascii="Calibri" w:eastAsia="Times New Roman" w:hAnsi="Calibri" w:cs="Times New Roman"/>
                <w:sz w:val="24"/>
                <w:szCs w:val="24"/>
              </w:rPr>
            </w:pPr>
            <w:r w:rsidRPr="00B875E5">
              <w:rPr>
                <w:rFonts w:ascii="Calibri" w:eastAsia="Times New Roman" w:hAnsi="Calibri" w:cs="Times New Roman"/>
                <w:sz w:val="24"/>
                <w:szCs w:val="24"/>
              </w:rPr>
              <w:t>Population</w:t>
            </w:r>
          </w:p>
        </w:tc>
        <w:tc>
          <w:tcPr>
            <w:tcW w:w="1376"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0.000</w:t>
            </w:r>
          </w:p>
        </w:tc>
        <w:tc>
          <w:tcPr>
            <w:tcW w:w="1414"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0.000</w:t>
            </w:r>
          </w:p>
        </w:tc>
        <w:tc>
          <w:tcPr>
            <w:tcW w:w="990"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0.919</w:t>
            </w:r>
          </w:p>
        </w:tc>
        <w:tc>
          <w:tcPr>
            <w:tcW w:w="915" w:type="dxa"/>
            <w:tcBorders>
              <w:top w:val="nil"/>
              <w:left w:val="nil"/>
              <w:bottom w:val="single" w:sz="4" w:space="0" w:color="auto"/>
              <w:right w:val="single" w:sz="4" w:space="0" w:color="auto"/>
            </w:tcBorders>
            <w:shd w:val="clear" w:color="auto" w:fill="auto"/>
            <w:noWrap/>
            <w:vAlign w:val="bottom"/>
            <w:hideMark/>
          </w:tcPr>
          <w:p w:rsidR="00A04856" w:rsidRPr="00B875E5" w:rsidRDefault="00A04856" w:rsidP="00A04856">
            <w:pPr>
              <w:spacing w:after="0" w:line="240" w:lineRule="auto"/>
              <w:jc w:val="right"/>
              <w:rPr>
                <w:rFonts w:ascii="Calibri" w:eastAsia="Times New Roman" w:hAnsi="Calibri" w:cs="Times New Roman"/>
                <w:sz w:val="24"/>
                <w:szCs w:val="24"/>
              </w:rPr>
            </w:pPr>
            <w:r w:rsidRPr="00B875E5">
              <w:rPr>
                <w:rFonts w:ascii="Calibri" w:eastAsia="Times New Roman" w:hAnsi="Calibri" w:cs="Times New Roman"/>
                <w:sz w:val="24"/>
                <w:szCs w:val="24"/>
              </w:rPr>
              <w:t>0.366</w:t>
            </w:r>
          </w:p>
        </w:tc>
      </w:tr>
    </w:tbl>
    <w:p w:rsidR="00BC26B8" w:rsidRPr="007B4E7D" w:rsidRDefault="00BC26B8" w:rsidP="005B07F3">
      <w:pPr>
        <w:spacing w:line="480" w:lineRule="auto"/>
        <w:rPr>
          <w:rFonts w:ascii="Times New Roman" w:hAnsi="Times New Roman" w:cs="Times New Roman"/>
          <w:sz w:val="24"/>
          <w:szCs w:val="24"/>
        </w:rPr>
      </w:pPr>
    </w:p>
    <w:p w:rsidR="00EA1E85" w:rsidRPr="00EA1E85" w:rsidRDefault="00534D19" w:rsidP="00EA1E85">
      <w:pPr>
        <w:spacing w:line="480" w:lineRule="auto"/>
        <w:rPr>
          <w:rFonts w:ascii="Times New Roman" w:hAnsi="Times New Roman" w:cs="Times New Roman"/>
          <w:sz w:val="24"/>
          <w:szCs w:val="24"/>
        </w:rPr>
      </w:pPr>
      <w:r>
        <w:rPr>
          <w:rFonts w:ascii="Times New Roman" w:hAnsi="Times New Roman" w:cs="Times New Roman"/>
          <w:noProof/>
          <w:sz w:val="24"/>
          <w:szCs w:val="24"/>
        </w:rPr>
        <w:tab/>
      </w:r>
      <w:r w:rsidRPr="007B4E7D">
        <w:rPr>
          <w:rFonts w:ascii="Times New Roman" w:hAnsi="Times New Roman" w:cs="Times New Roman"/>
          <w:noProof/>
          <w:sz w:val="24"/>
          <w:szCs w:val="24"/>
        </w:rPr>
        <w:drawing>
          <wp:inline distT="0" distB="0" distL="0" distR="0">
            <wp:extent cx="2388597" cy="1912401"/>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388902" cy="1912645"/>
                    </a:xfrm>
                    <a:prstGeom prst="rect">
                      <a:avLst/>
                    </a:prstGeom>
                    <a:noFill/>
                    <a:ln w="9525">
                      <a:noFill/>
                      <a:miter lim="800000"/>
                      <a:headEnd/>
                      <a:tailEnd/>
                    </a:ln>
                  </pic:spPr>
                </pic:pic>
              </a:graphicData>
            </a:graphic>
          </wp:inline>
        </w:drawing>
      </w:r>
      <w:r w:rsidR="00EA1E85">
        <w:rPr>
          <w:rFonts w:ascii="Times New Roman" w:hAnsi="Times New Roman" w:cs="Times New Roman"/>
          <w:noProof/>
          <w:sz w:val="24"/>
          <w:szCs w:val="24"/>
        </w:rPr>
        <w:drawing>
          <wp:inline distT="0" distB="0" distL="0" distR="0">
            <wp:extent cx="1889178" cy="2255520"/>
            <wp:effectExtent l="1905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1889178" cy="2255520"/>
                    </a:xfrm>
                    <a:prstGeom prst="rect">
                      <a:avLst/>
                    </a:prstGeom>
                    <a:noFill/>
                    <a:ln w="9525">
                      <a:noFill/>
                      <a:miter lim="800000"/>
                      <a:headEnd/>
                      <a:tailEnd/>
                    </a:ln>
                  </pic:spPr>
                </pic:pic>
              </a:graphicData>
            </a:graphic>
          </wp:inline>
        </w:drawing>
      </w:r>
    </w:p>
    <w:p w:rsidR="00EA1E85" w:rsidRDefault="00EA1E85" w:rsidP="00EA1E85">
      <w:pPr>
        <w:spacing w:line="480" w:lineRule="auto"/>
        <w:jc w:val="center"/>
        <w:rPr>
          <w:rFonts w:ascii="Times New Roman" w:hAnsi="Times New Roman" w:cs="Times New Roman"/>
          <w:sz w:val="24"/>
          <w:szCs w:val="24"/>
          <w:u w:val="single"/>
        </w:rPr>
      </w:pPr>
      <w:r>
        <w:rPr>
          <w:rFonts w:ascii="Times New Roman" w:hAnsi="Times New Roman" w:cs="Times New Roman"/>
          <w:sz w:val="24"/>
          <w:szCs w:val="24"/>
          <w:u w:val="single"/>
        </w:rPr>
        <w:t>Figure1</w:t>
      </w:r>
    </w:p>
    <w:p w:rsidR="00812C9A" w:rsidRDefault="00E044A9" w:rsidP="00B875E5">
      <w:pPr>
        <w:rPr>
          <w:rFonts w:ascii="Times New Roman" w:hAnsi="Times New Roman" w:cs="Times New Roman"/>
          <w:sz w:val="24"/>
          <w:szCs w:val="24"/>
          <w:u w:val="single"/>
        </w:rPr>
      </w:pPr>
      <w:r>
        <w:rPr>
          <w:rFonts w:ascii="Times New Roman" w:hAnsi="Times New Roman" w:cs="Times New Roman"/>
          <w:sz w:val="24"/>
          <w:szCs w:val="24"/>
          <w:u w:val="single"/>
        </w:rPr>
        <w:br w:type="page"/>
      </w:r>
    </w:p>
    <w:p w:rsidR="0001124C" w:rsidRDefault="00060ED0" w:rsidP="00534D19">
      <w:pPr>
        <w:spacing w:line="480" w:lineRule="auto"/>
        <w:jc w:val="center"/>
        <w:rPr>
          <w:rFonts w:ascii="Times New Roman" w:hAnsi="Times New Roman" w:cs="Times New Roman"/>
          <w:sz w:val="24"/>
          <w:szCs w:val="24"/>
          <w:u w:val="single"/>
        </w:rPr>
      </w:pPr>
      <w:r w:rsidRPr="007B4E7D">
        <w:rPr>
          <w:rFonts w:ascii="Times New Roman" w:hAnsi="Times New Roman" w:cs="Times New Roman"/>
          <w:sz w:val="24"/>
          <w:szCs w:val="24"/>
          <w:u w:val="single"/>
        </w:rPr>
        <w:lastRenderedPageBreak/>
        <w:t>Implications of the results for further research</w:t>
      </w:r>
    </w:p>
    <w:p w:rsidR="009256E7" w:rsidRDefault="00534D19" w:rsidP="00534D1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result of this study did not statistically relate these factors to violent crime in the strictest sense, but it does bring out differences among the factors.  </w:t>
      </w:r>
      <w:r w:rsidR="00082785">
        <w:rPr>
          <w:rFonts w:ascii="Times New Roman" w:hAnsi="Times New Roman" w:cs="Times New Roman"/>
          <w:sz w:val="24"/>
          <w:szCs w:val="24"/>
        </w:rPr>
        <w:t>The finding that</w:t>
      </w:r>
      <w:r>
        <w:rPr>
          <w:rFonts w:ascii="Times New Roman" w:hAnsi="Times New Roman" w:cs="Times New Roman"/>
          <w:sz w:val="24"/>
          <w:szCs w:val="24"/>
        </w:rPr>
        <w:t xml:space="preserve"> the percentage of the </w:t>
      </w:r>
      <w:r w:rsidR="00082785">
        <w:rPr>
          <w:rFonts w:ascii="Times New Roman" w:hAnsi="Times New Roman" w:cs="Times New Roman"/>
          <w:sz w:val="24"/>
          <w:szCs w:val="24"/>
        </w:rPr>
        <w:t>black population has the highest correlation to violent crime is very disturbing and more needs to be done in studying why this is the case.  It is hypothesized that there is a high correlation with the percentage of blacks with other factors in this study such as median income, college graduation rate, the percentage of owner occupancy.  Any policy maker serious about reducing the violent crime in his or her represented area needs look into how to get the black community in their area</w:t>
      </w:r>
      <w:r w:rsidR="00BC26B8">
        <w:rPr>
          <w:rFonts w:ascii="Times New Roman" w:hAnsi="Times New Roman" w:cs="Times New Roman"/>
          <w:sz w:val="24"/>
          <w:szCs w:val="24"/>
        </w:rPr>
        <w:t xml:space="preserve"> into college, home ownership, and resources for marriage and individual counseling.  The median household income is the next highest factor that correlates to violent crime.  Household income is </w:t>
      </w:r>
      <w:r w:rsidR="001F5A2B">
        <w:rPr>
          <w:rFonts w:ascii="Times New Roman" w:hAnsi="Times New Roman" w:cs="Times New Roman"/>
          <w:sz w:val="24"/>
          <w:szCs w:val="24"/>
        </w:rPr>
        <w:t>strongly dependent on the ability of families to stay together and the education level of the household.  More studies need to be done on the scope of this problem in cities with a high rate of violent crime.</w:t>
      </w:r>
      <w:r w:rsidR="00BC26B8">
        <w:rPr>
          <w:rFonts w:ascii="Times New Roman" w:hAnsi="Times New Roman" w:cs="Times New Roman"/>
          <w:sz w:val="24"/>
          <w:szCs w:val="24"/>
        </w:rPr>
        <w:t xml:space="preserve">  </w:t>
      </w:r>
      <w:r w:rsidR="00F43795">
        <w:rPr>
          <w:rFonts w:ascii="Times New Roman" w:hAnsi="Times New Roman" w:cs="Times New Roman"/>
          <w:sz w:val="24"/>
          <w:szCs w:val="24"/>
        </w:rPr>
        <w:t>Property crime rate can also be analyzed by comparing these factors with the property crime rates for selected cities.</w:t>
      </w:r>
    </w:p>
    <w:p w:rsidR="00E044A9" w:rsidRDefault="00E044A9">
      <w:pPr>
        <w:rPr>
          <w:rFonts w:ascii="Times New Roman" w:hAnsi="Times New Roman" w:cs="Times New Roman"/>
          <w:sz w:val="24"/>
          <w:szCs w:val="24"/>
          <w:u w:val="single"/>
        </w:rPr>
      </w:pPr>
      <w:r>
        <w:rPr>
          <w:rFonts w:ascii="Times New Roman" w:hAnsi="Times New Roman" w:cs="Times New Roman"/>
          <w:sz w:val="24"/>
          <w:szCs w:val="24"/>
          <w:u w:val="single"/>
        </w:rPr>
        <w:br w:type="page"/>
      </w:r>
    </w:p>
    <w:p w:rsidR="001C2674" w:rsidRPr="007B4E7D" w:rsidRDefault="001C2674" w:rsidP="00E044A9">
      <w:pPr>
        <w:spacing w:line="480" w:lineRule="auto"/>
        <w:jc w:val="center"/>
        <w:rPr>
          <w:rFonts w:ascii="Times New Roman" w:hAnsi="Times New Roman" w:cs="Times New Roman"/>
          <w:sz w:val="24"/>
          <w:szCs w:val="24"/>
          <w:u w:val="single"/>
        </w:rPr>
      </w:pPr>
      <w:r>
        <w:rPr>
          <w:rFonts w:ascii="Times New Roman" w:hAnsi="Times New Roman" w:cs="Times New Roman"/>
          <w:sz w:val="24"/>
          <w:szCs w:val="24"/>
          <w:u w:val="single"/>
        </w:rPr>
        <w:lastRenderedPageBreak/>
        <w:t>References</w:t>
      </w:r>
    </w:p>
    <w:p w:rsidR="00624EC2" w:rsidRDefault="001C2674" w:rsidP="001C2674">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FBI, “2008 Crime in the United States by Metropolitan Statistical Area.” </w:t>
      </w:r>
      <w:hyperlink r:id="rId11" w:history="1">
        <w:r w:rsidRPr="0031124D">
          <w:rPr>
            <w:rStyle w:val="Hyperlink"/>
            <w:rFonts w:ascii="Times New Roman" w:hAnsi="Times New Roman" w:cs="Times New Roman"/>
            <w:sz w:val="24"/>
            <w:szCs w:val="24"/>
          </w:rPr>
          <w:t>http://www.fbi.gov/ucr/cius2008/data/table_06.html</w:t>
        </w:r>
      </w:hyperlink>
      <w:r w:rsidR="009256E7">
        <w:rPr>
          <w:rFonts w:ascii="Times New Roman" w:hAnsi="Times New Roman" w:cs="Times New Roman"/>
          <w:sz w:val="24"/>
          <w:szCs w:val="24"/>
        </w:rPr>
        <w:t>.</w:t>
      </w:r>
    </w:p>
    <w:p w:rsidR="001C2674" w:rsidRDefault="009256E7" w:rsidP="001C2674">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U.S. Census Bureau, “American Fact Finder.  Fact Sheet</w:t>
      </w:r>
      <w:proofErr w:type="gramStart"/>
      <w:r>
        <w:rPr>
          <w:rFonts w:ascii="Times New Roman" w:hAnsi="Times New Roman" w:cs="Times New Roman"/>
          <w:sz w:val="24"/>
          <w:szCs w:val="24"/>
        </w:rPr>
        <w:t xml:space="preserve">”  </w:t>
      </w:r>
      <w:proofErr w:type="gramEnd"/>
      <w:hyperlink r:id="rId12" w:history="1">
        <w:r w:rsidRPr="0031124D">
          <w:rPr>
            <w:rStyle w:val="Hyperlink"/>
            <w:rFonts w:ascii="Times New Roman" w:hAnsi="Times New Roman" w:cs="Times New Roman"/>
            <w:sz w:val="24"/>
            <w:szCs w:val="24"/>
          </w:rPr>
          <w:t>http://factfinder.census.gov/home/saff/main.html?_lang=en</w:t>
        </w:r>
      </w:hyperlink>
      <w:r>
        <w:rPr>
          <w:rFonts w:ascii="Times New Roman" w:hAnsi="Times New Roman" w:cs="Times New Roman"/>
          <w:sz w:val="24"/>
          <w:szCs w:val="24"/>
        </w:rPr>
        <w:t>.</w:t>
      </w:r>
    </w:p>
    <w:p w:rsidR="009256E7" w:rsidRDefault="009256E7" w:rsidP="001C2674">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Joseph </w:t>
      </w:r>
      <w:proofErr w:type="spellStart"/>
      <w:r>
        <w:rPr>
          <w:rFonts w:ascii="Times New Roman" w:hAnsi="Times New Roman" w:cs="Times New Roman"/>
          <w:sz w:val="24"/>
          <w:szCs w:val="24"/>
        </w:rPr>
        <w:t>Schmuller</w:t>
      </w:r>
      <w:proofErr w:type="spellEnd"/>
      <w:r>
        <w:rPr>
          <w:rFonts w:ascii="Times New Roman" w:hAnsi="Times New Roman" w:cs="Times New Roman"/>
          <w:sz w:val="24"/>
          <w:szCs w:val="24"/>
        </w:rPr>
        <w:t xml:space="preserve">, PhD, </w:t>
      </w:r>
      <w:r w:rsidRPr="00915F56">
        <w:rPr>
          <w:rFonts w:ascii="Times New Roman" w:hAnsi="Times New Roman" w:cs="Times New Roman"/>
          <w:i/>
          <w:sz w:val="24"/>
          <w:szCs w:val="24"/>
        </w:rPr>
        <w:t>Statistical Analysis with Excel for Dummies</w:t>
      </w:r>
      <w:r>
        <w:rPr>
          <w:rFonts w:ascii="Times New Roman" w:hAnsi="Times New Roman" w:cs="Times New Roman"/>
          <w:sz w:val="24"/>
          <w:szCs w:val="24"/>
        </w:rPr>
        <w:t xml:space="preserve"> (Wiley Publishing, Inc., 2009), 282</w:t>
      </w:r>
      <w:r w:rsidR="00915F56">
        <w:rPr>
          <w:rFonts w:ascii="Times New Roman" w:hAnsi="Times New Roman" w:cs="Times New Roman"/>
          <w:sz w:val="24"/>
          <w:szCs w:val="24"/>
        </w:rPr>
        <w:t>-289</w:t>
      </w:r>
      <w:r>
        <w:rPr>
          <w:rFonts w:ascii="Times New Roman" w:hAnsi="Times New Roman" w:cs="Times New Roman"/>
          <w:sz w:val="24"/>
          <w:szCs w:val="24"/>
        </w:rPr>
        <w:t>.</w:t>
      </w:r>
    </w:p>
    <w:p w:rsidR="009256E7" w:rsidRDefault="00915F56" w:rsidP="001C2674">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Frederick Williams and Peter </w:t>
      </w:r>
      <w:proofErr w:type="spellStart"/>
      <w:r>
        <w:rPr>
          <w:rFonts w:ascii="Times New Roman" w:hAnsi="Times New Roman" w:cs="Times New Roman"/>
          <w:sz w:val="24"/>
          <w:szCs w:val="24"/>
        </w:rPr>
        <w:t>Monge</w:t>
      </w:r>
      <w:proofErr w:type="spellEnd"/>
      <w:r>
        <w:rPr>
          <w:rFonts w:ascii="Times New Roman" w:hAnsi="Times New Roman" w:cs="Times New Roman"/>
          <w:sz w:val="24"/>
          <w:szCs w:val="24"/>
        </w:rPr>
        <w:t>, Reasoning with Statistics (Thompson Wadsworth, 2001), 143-152.</w:t>
      </w:r>
    </w:p>
    <w:p w:rsidR="005356C0" w:rsidRDefault="005356C0">
      <w:pPr>
        <w:rPr>
          <w:rFonts w:ascii="Times New Roman" w:hAnsi="Times New Roman" w:cs="Times New Roman"/>
          <w:sz w:val="24"/>
          <w:szCs w:val="24"/>
        </w:rPr>
      </w:pPr>
      <w:r>
        <w:rPr>
          <w:rFonts w:ascii="Times New Roman" w:hAnsi="Times New Roman" w:cs="Times New Roman"/>
          <w:sz w:val="24"/>
          <w:szCs w:val="24"/>
        </w:rPr>
        <w:br w:type="page"/>
      </w:r>
    </w:p>
    <w:p w:rsidR="005356C0" w:rsidRDefault="005356C0" w:rsidP="005356C0">
      <w:pPr>
        <w:pStyle w:val="ListParagraph"/>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Appendix</w:t>
      </w:r>
      <w:r w:rsidR="00B462D5">
        <w:rPr>
          <w:rFonts w:ascii="Times New Roman" w:hAnsi="Times New Roman" w:cs="Times New Roman"/>
          <w:sz w:val="24"/>
          <w:szCs w:val="24"/>
        </w:rPr>
        <w:t xml:space="preserve"> 1</w:t>
      </w:r>
    </w:p>
    <w:p w:rsidR="005356C0" w:rsidRPr="00B462D5" w:rsidRDefault="005356C0" w:rsidP="005356C0">
      <w:pPr>
        <w:pStyle w:val="ListParagraph"/>
        <w:spacing w:line="480" w:lineRule="auto"/>
        <w:jc w:val="center"/>
        <w:rPr>
          <w:rFonts w:ascii="Times New Roman" w:hAnsi="Times New Roman" w:cs="Times New Roman"/>
          <w:sz w:val="24"/>
          <w:szCs w:val="24"/>
          <w:u w:val="single"/>
        </w:rPr>
      </w:pPr>
      <w:r w:rsidRPr="00B462D5">
        <w:rPr>
          <w:rFonts w:ascii="Times New Roman" w:hAnsi="Times New Roman" w:cs="Times New Roman"/>
          <w:sz w:val="24"/>
          <w:szCs w:val="24"/>
          <w:u w:val="single"/>
        </w:rPr>
        <w:t>Data Table for Study</w:t>
      </w:r>
    </w:p>
    <w:tbl>
      <w:tblPr>
        <w:tblW w:w="9480" w:type="dxa"/>
        <w:tblInd w:w="96" w:type="dxa"/>
        <w:tblLayout w:type="fixed"/>
        <w:tblLook w:val="04A0"/>
      </w:tblPr>
      <w:tblGrid>
        <w:gridCol w:w="1547"/>
        <w:gridCol w:w="625"/>
        <w:gridCol w:w="470"/>
        <w:gridCol w:w="570"/>
        <w:gridCol w:w="585"/>
        <w:gridCol w:w="565"/>
        <w:gridCol w:w="658"/>
        <w:gridCol w:w="636"/>
        <w:gridCol w:w="631"/>
        <w:gridCol w:w="549"/>
        <w:gridCol w:w="498"/>
        <w:gridCol w:w="493"/>
        <w:gridCol w:w="493"/>
        <w:gridCol w:w="544"/>
        <w:gridCol w:w="616"/>
      </w:tblGrid>
      <w:tr w:rsidR="005356C0" w:rsidRPr="005356C0" w:rsidTr="00030596">
        <w:trPr>
          <w:trHeight w:val="552"/>
        </w:trPr>
        <w:tc>
          <w:tcPr>
            <w:tcW w:w="1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Counties/principal cities</w:t>
            </w:r>
          </w:p>
        </w:tc>
        <w:tc>
          <w:tcPr>
            <w:tcW w:w="625"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Violent Crime Rate per 100,000</w:t>
            </w:r>
          </w:p>
        </w:tc>
        <w:tc>
          <w:tcPr>
            <w:tcW w:w="470"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 xml:space="preserve">Average </w:t>
            </w:r>
            <w:proofErr w:type="spellStart"/>
            <w:r w:rsidRPr="00030596">
              <w:rPr>
                <w:rFonts w:ascii="Times New Roman" w:eastAsia="Times New Roman" w:hAnsi="Times New Roman" w:cs="Times New Roman"/>
                <w:color w:val="000000"/>
                <w:sz w:val="10"/>
                <w:szCs w:val="10"/>
              </w:rPr>
              <w:t>Houshold</w:t>
            </w:r>
            <w:proofErr w:type="spellEnd"/>
            <w:r w:rsidRPr="00030596">
              <w:rPr>
                <w:rFonts w:ascii="Times New Roman" w:eastAsia="Times New Roman" w:hAnsi="Times New Roman" w:cs="Times New Roman"/>
                <w:color w:val="000000"/>
                <w:sz w:val="10"/>
                <w:szCs w:val="10"/>
              </w:rPr>
              <w:t xml:space="preserve"> Size</w:t>
            </w:r>
          </w:p>
        </w:tc>
        <w:tc>
          <w:tcPr>
            <w:tcW w:w="570"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Percent High School Graduate or Higher</w:t>
            </w:r>
          </w:p>
        </w:tc>
        <w:tc>
          <w:tcPr>
            <w:tcW w:w="585"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Percent Bachelors Degree or Higher</w:t>
            </w:r>
          </w:p>
        </w:tc>
        <w:tc>
          <w:tcPr>
            <w:tcW w:w="565"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Male, Now Married except separated</w:t>
            </w:r>
          </w:p>
        </w:tc>
        <w:tc>
          <w:tcPr>
            <w:tcW w:w="658"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In labor force (population 16 years and older)</w:t>
            </w:r>
          </w:p>
        </w:tc>
        <w:tc>
          <w:tcPr>
            <w:tcW w:w="636"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Median household Income (2008 Inflation adjusted Dollars)</w:t>
            </w:r>
          </w:p>
        </w:tc>
        <w:tc>
          <w:tcPr>
            <w:tcW w:w="631"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Individuals below poverty level</w:t>
            </w:r>
          </w:p>
        </w:tc>
        <w:tc>
          <w:tcPr>
            <w:tcW w:w="549"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Owner occupied housing units</w:t>
            </w:r>
          </w:p>
        </w:tc>
        <w:tc>
          <w:tcPr>
            <w:tcW w:w="498"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Median Age</w:t>
            </w:r>
          </w:p>
        </w:tc>
        <w:tc>
          <w:tcPr>
            <w:tcW w:w="493"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Percent White</w:t>
            </w:r>
          </w:p>
        </w:tc>
        <w:tc>
          <w:tcPr>
            <w:tcW w:w="493"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Percent Black</w:t>
            </w:r>
          </w:p>
        </w:tc>
        <w:tc>
          <w:tcPr>
            <w:tcW w:w="544"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 xml:space="preserve">Percent Hispanic or </w:t>
            </w:r>
            <w:proofErr w:type="spellStart"/>
            <w:r w:rsidRPr="00030596">
              <w:rPr>
                <w:rFonts w:ascii="Times New Roman" w:eastAsia="Times New Roman" w:hAnsi="Times New Roman" w:cs="Times New Roman"/>
                <w:color w:val="000000"/>
                <w:sz w:val="10"/>
                <w:szCs w:val="10"/>
              </w:rPr>
              <w:t>latino</w:t>
            </w:r>
            <w:proofErr w:type="spellEnd"/>
            <w:r w:rsidRPr="00030596">
              <w:rPr>
                <w:rFonts w:ascii="Times New Roman" w:eastAsia="Times New Roman" w:hAnsi="Times New Roman" w:cs="Times New Roman"/>
                <w:color w:val="000000"/>
                <w:sz w:val="10"/>
                <w:szCs w:val="10"/>
              </w:rPr>
              <w:t xml:space="preserve"> of any race</w:t>
            </w:r>
          </w:p>
        </w:tc>
        <w:tc>
          <w:tcPr>
            <w:tcW w:w="616" w:type="dxa"/>
            <w:tcBorders>
              <w:top w:val="single" w:sz="4" w:space="0" w:color="auto"/>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color w:val="000000"/>
                <w:sz w:val="10"/>
                <w:szCs w:val="10"/>
              </w:rPr>
            </w:pPr>
            <w:r w:rsidRPr="00030596">
              <w:rPr>
                <w:rFonts w:ascii="Times New Roman" w:eastAsia="Times New Roman" w:hAnsi="Times New Roman" w:cs="Times New Roman"/>
                <w:color w:val="000000"/>
                <w:sz w:val="10"/>
                <w:szCs w:val="10"/>
              </w:rPr>
              <w:t>Population</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Memphis</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1925.02</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2.51</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80.9%</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22.2%</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35.5%</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65.6%</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$36,389</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24.1%</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54.5%</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33.8</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31.7%</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62.6%</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672,046</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Orlando</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1666.17</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2.38</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85.6%</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31.7%</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39.7%</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73.2%</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$44,287</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16.6%</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42.1%</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33.3</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57.8%</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27.4%</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22.2%</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229,808</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Birmingham</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1423.04</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2.27</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81.8%</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21.0%</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33.9%</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62.0%</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$32,070</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24.2%</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40.9%</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37.1</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23.0%</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74.1%</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228,314</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Nashville</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1395.59</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2.36</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84.4%</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32.0%</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44.8%</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68.2%</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$46,029</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16.3%</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60.8%</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36.2</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64.9%</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27.9%</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7.8%</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602,181</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Buffalo</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1374.82</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2.22</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80.2%</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20.9%</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32.0%</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58.5%</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$29,845</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29.9%</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42.9%</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34.2</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52.2%</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39.1%</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8.7%</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270,289</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Tulsa</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1285.27</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2.27</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85.7%</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29.4%</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47.7%</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66.3%</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$39,373</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19.2%</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54.9%</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35.8</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68.5%</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15.9%</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12.1%</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382,954</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Cincinnati, OH</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1263.95</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2.25</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81.6%</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28.9%</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31.0%</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62.3%</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$33,524</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25.7%</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42.6%</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35.7</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51.0%</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44.4%</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1.9%</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332,608</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Milwaukee</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1218.84</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2.55</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79.7%</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20.3%</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35.5%</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65.7%</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$37,022</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24.4%</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48.4%</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32.1</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46.8%</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38.3%</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15.7%</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602,131</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Hartford</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1206.16</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2.54</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68.0%</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13.7%</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28.3%</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63.0%</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$29,224</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32.5%</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25.7%</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30.1</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30.2%</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37.2%</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41.4%</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124,610</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Indianapolis</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1204.34</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2.40</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84.0%</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24.4%</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45.9%</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69.2%</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$44,830</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16.1%</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60.3%</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35.5</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66.6%</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25.9%</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7.0%</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808,329</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Bridgeport</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1201.52</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2.64</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72.8%</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15.3%</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40.1%</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65.8%</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$41,210</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20.3%</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46.6%</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33.2</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49.4%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34.1%</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33.3%</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136,327</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Baton Rouge</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1185.44</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2.39</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84.4%</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32.1%</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38.0%</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64.8%</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$37,242</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25.7%</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51.7%</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30.3</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40.8%</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54.2%</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226,920</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Albany</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1097.16</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2.13</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86.6%</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36.9%</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28.6%</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63.1%</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Arial" w:eastAsia="Times New Roman" w:hAnsi="Arial" w:cs="Arial"/>
                <w:color w:val="000000"/>
                <w:sz w:val="10"/>
                <w:szCs w:val="10"/>
              </w:rPr>
            </w:pPr>
            <w:r w:rsidRPr="00030596">
              <w:rPr>
                <w:rFonts w:ascii="Arial" w:eastAsia="Times New Roman" w:hAnsi="Arial" w:cs="Arial"/>
                <w:color w:val="000000"/>
                <w:sz w:val="10"/>
                <w:szCs w:val="10"/>
              </w:rPr>
              <w:t>$40,978</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25.3%</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40.9%</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31.0</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59.4%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28.7%</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6.9%</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94,152</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Dayton</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1084.18</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2.25</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81.0%</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15.2%</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33.2%</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60.0%</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$29,630</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29.8%</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50.9%</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34.4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53.7%</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42.7%</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2.2%</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154,218</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 xml:space="preserve">City of Pittsburgh </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1084.08</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2.10</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87.0%</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32.4%</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35.2%</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59.5%</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$34,834</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21.6%</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52.8%</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36.7</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67.0%</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26.5%</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1.8%</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309,757</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Grand Rapids</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1025.91</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2.49</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81.3%</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27.2%</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42.0%</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68.0%</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$39,269</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23.1%</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40.9%</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32.0</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66.7%</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20.3%</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16.2%</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193,096</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New Orleans</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1019.40</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3.41</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82.4%</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30.5%</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29.0%</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59.5%</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$39,398</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23.8%</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50.2%</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31.0</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34.4%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60.5%</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4.5%</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281,440</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Sacramento</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997.72</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2.57</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81.1%</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29.2%</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42.6%</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65.0%</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$50,651</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15.3%</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51.2%</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33.2</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51.1%</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14.0%</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24.6%</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467,065</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Jacksonville</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996.43</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2.49</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86.8%</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23.6%</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49.9%</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68.6%</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$49,784</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12.8%</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64.1%</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36.0</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62.3%</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30.1%</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6.2%</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806,080</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Las Vegas Metropolitan Police Department</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984.65</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2.68</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81.3%</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21.3%</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50.6%</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66.8%</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$55,113</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11.7%</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58.7%</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35.5</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70.8%</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10.3%</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30.0%</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1,353,175</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Oklahoma City</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977.46</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2.45</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83.9%</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26.2%</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52.2%</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67.4%</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$43,011</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16.5%</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61.7%</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35.0</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67.7%</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14.1%</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14.6%</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552,452</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Worcester</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969.79</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2.36</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83.7%</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28.2%</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38.0%</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63.6%</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$44,794</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17.5%</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46.7%</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34.4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78.5%</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9.0%</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19.3%</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177,151</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Charlotte-Mecklenburg, NC</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931.77</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2.37</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87.8%</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39.6%</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50.2%</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74.0%</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$53,125</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12.3%</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59.8%</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34.6</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55.5%</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33.5%</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11.2%</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758,769</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Albuquerque</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894.47</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2.37</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86.5%</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32.3%</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47.3%</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67.4%</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$45,962</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15.2%</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61.7%</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67.5%</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44.0%</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527,464</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 xml:space="preserve">City of Richmond </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795.30</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2.33</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80.0%</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32.2%</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31.4%</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63.1%</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$38,385</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23.0%</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49.2%</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35.5</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51.5%</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4.6%</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199,674</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Salt Lake City</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786.64</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2.47</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85.2%</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38.9%</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43.9%</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70.8%</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$44,552</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16.8%</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50.4%</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31.6</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80.7%</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3.6%</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21.9%</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180,514</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 xml:space="preserve">City of Columbus </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774.19</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2.32</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86.6%</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31.5%</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41.1%</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69.9%</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$43,600</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20.6%</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50.6%</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32.3</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65.4%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26.4%</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4.5%</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751,887</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Allentown, PA</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749.99</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2.56</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75.7%</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16.4%</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41.4%</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62.7%</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$37,955</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21.1%</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50.9%</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32.8</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63.2%</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11.0%</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36.2%</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107,335</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San Antonio</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717.78</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2.81</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78.9%</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23.1%</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48.4%</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64.2%</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$42,731</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18.5%</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59.7%</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32.6</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68.9%</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6.6%</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61.2%</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1,351,244</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Bakersfield</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637.03</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3.05</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77.4%</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19.5%</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50.6%</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66.0%</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$52,160</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16.5%</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58.9%</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29.1</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57.4%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8.4%</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42.2%</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326,046</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Portland, OR</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622.94</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2.27</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89.2%</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39.6%</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43.8%</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69.7%</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$48,993</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15.2%</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57.7%</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37.5</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78.6%</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6.4%</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8.8%</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553,023</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Omaha, NE</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605.62</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2.42</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88.0%</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31.6%</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46.6%</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70.6%</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$45,979</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14.7%</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60.0%</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34.6</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76.7%</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12.8%</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11.4%</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437,238</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Fresno</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584.79</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3.04</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74.9%</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19.8%</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44.7%</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63.9%</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$42,616</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23.7%</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48.6%</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28.8</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53.3%</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8.0%</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44.6%</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475,723</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 xml:space="preserve">City of Raleigh </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577.62</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2.38</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89.8%</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46.3%</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43.6%</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71.5%</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$53,926</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12.8%</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54.5%</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32.2</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60.2%</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24.8%</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9.7%</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388,661</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Denver</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566.89</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2.32</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82.5%</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38.0%</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42.3%</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69.5%</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$45,002</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18.7%</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55.7%</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35.3</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74.1%</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9.6%</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34.1%</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592,881</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Austin</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522.21</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2.40</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83.5%</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42.6%</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43.1%</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74.1%</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$51,004</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17.6%</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46.9%</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63.7%</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8.2%</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35.5%</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753,535</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El Paso</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461.32</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2.97</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73.2%</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21.2%</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53.2%</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60.2%</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$36,649</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25.8%</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62.5%</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32.3</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77.8%</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80.0%</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612,374</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San Jose</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385.42</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3.10</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81.7%</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35.4%</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53.4%</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67.8%</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$79,796</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9.7%</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61.4%</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35.6</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48.6%</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3.0%</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31.5%</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945,197</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Honolulu</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284.11</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2.48</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88.4%</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35.0%</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49.4%</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62.3%</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$59,194</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10.2%</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50.6%</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42.9</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21.4%</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1.9%</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3.8%</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906,349</w:t>
            </w:r>
          </w:p>
        </w:tc>
      </w:tr>
      <w:tr w:rsidR="005356C0" w:rsidRPr="005356C0" w:rsidTr="00030596">
        <w:trPr>
          <w:trHeight w:val="204"/>
        </w:trPr>
        <w:tc>
          <w:tcPr>
            <w:tcW w:w="1547" w:type="dxa"/>
            <w:tcBorders>
              <w:top w:val="nil"/>
              <w:left w:val="single" w:sz="4" w:space="0" w:color="auto"/>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City of Virginia Beach, VA</w:t>
            </w:r>
          </w:p>
        </w:tc>
        <w:tc>
          <w:tcPr>
            <w:tcW w:w="62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240.23</w:t>
            </w:r>
          </w:p>
        </w:tc>
        <w:tc>
          <w:tcPr>
            <w:tcW w:w="4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2.61</w:t>
            </w:r>
          </w:p>
        </w:tc>
        <w:tc>
          <w:tcPr>
            <w:tcW w:w="570"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92.2%</w:t>
            </w:r>
          </w:p>
        </w:tc>
        <w:tc>
          <w:tcPr>
            <w:tcW w:w="58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31.3%</w:t>
            </w:r>
          </w:p>
        </w:tc>
        <w:tc>
          <w:tcPr>
            <w:tcW w:w="565"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54.6%</w:t>
            </w:r>
          </w:p>
        </w:tc>
        <w:tc>
          <w:tcPr>
            <w:tcW w:w="65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72.9%</w:t>
            </w:r>
          </w:p>
        </w:tc>
        <w:tc>
          <w:tcPr>
            <w:tcW w:w="636"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$64,755</w:t>
            </w:r>
          </w:p>
        </w:tc>
        <w:tc>
          <w:tcPr>
            <w:tcW w:w="631"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6.8%</w:t>
            </w:r>
          </w:p>
        </w:tc>
        <w:tc>
          <w:tcPr>
            <w:tcW w:w="549"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68.0%</w:t>
            </w:r>
          </w:p>
        </w:tc>
        <w:tc>
          <w:tcPr>
            <w:tcW w:w="498"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35.7</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70.1%</w:t>
            </w:r>
          </w:p>
        </w:tc>
        <w:tc>
          <w:tcPr>
            <w:tcW w:w="493"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19.4%</w:t>
            </w:r>
          </w:p>
        </w:tc>
        <w:tc>
          <w:tcPr>
            <w:tcW w:w="544" w:type="dxa"/>
            <w:tcBorders>
              <w:top w:val="nil"/>
              <w:left w:val="nil"/>
              <w:bottom w:val="single" w:sz="4" w:space="0" w:color="auto"/>
              <w:right w:val="single" w:sz="4" w:space="0" w:color="auto"/>
            </w:tcBorders>
            <w:shd w:val="clear" w:color="auto" w:fill="auto"/>
            <w:noWrap/>
            <w:vAlign w:val="bottom"/>
            <w:hideMark/>
          </w:tcPr>
          <w:p w:rsidR="005356C0" w:rsidRPr="00030596" w:rsidRDefault="005356C0" w:rsidP="005356C0">
            <w:pPr>
              <w:spacing w:after="0" w:line="240" w:lineRule="auto"/>
              <w:jc w:val="center"/>
              <w:rPr>
                <w:rFonts w:ascii="Calibri" w:eastAsia="Times New Roman" w:hAnsi="Calibri" w:cs="Times New Roman"/>
                <w:color w:val="000000"/>
                <w:sz w:val="10"/>
                <w:szCs w:val="10"/>
              </w:rPr>
            </w:pPr>
            <w:r w:rsidRPr="00030596">
              <w:rPr>
                <w:rFonts w:ascii="Calibri" w:eastAsia="Times New Roman" w:hAnsi="Calibri" w:cs="Times New Roman"/>
                <w:color w:val="000000"/>
                <w:sz w:val="10"/>
                <w:szCs w:val="10"/>
              </w:rPr>
              <w:t>5.8%</w:t>
            </w:r>
          </w:p>
        </w:tc>
        <w:tc>
          <w:tcPr>
            <w:tcW w:w="616" w:type="dxa"/>
            <w:tcBorders>
              <w:top w:val="nil"/>
              <w:left w:val="nil"/>
              <w:bottom w:val="single" w:sz="4" w:space="0" w:color="auto"/>
              <w:right w:val="single" w:sz="4" w:space="0" w:color="auto"/>
            </w:tcBorders>
            <w:shd w:val="clear" w:color="auto" w:fill="auto"/>
            <w:vAlign w:val="bottom"/>
            <w:hideMark/>
          </w:tcPr>
          <w:p w:rsidR="005356C0" w:rsidRPr="00030596" w:rsidRDefault="005356C0" w:rsidP="005356C0">
            <w:pPr>
              <w:spacing w:after="0" w:line="240" w:lineRule="auto"/>
              <w:jc w:val="center"/>
              <w:rPr>
                <w:rFonts w:ascii="Times New Roman" w:eastAsia="Times New Roman" w:hAnsi="Times New Roman" w:cs="Times New Roman"/>
                <w:sz w:val="10"/>
                <w:szCs w:val="10"/>
              </w:rPr>
            </w:pPr>
            <w:r w:rsidRPr="00030596">
              <w:rPr>
                <w:rFonts w:ascii="Times New Roman" w:eastAsia="Times New Roman" w:hAnsi="Times New Roman" w:cs="Times New Roman"/>
                <w:sz w:val="10"/>
                <w:szCs w:val="10"/>
              </w:rPr>
              <w:t>434,163</w:t>
            </w:r>
          </w:p>
        </w:tc>
      </w:tr>
    </w:tbl>
    <w:p w:rsidR="00B462D5" w:rsidRDefault="00B462D5" w:rsidP="005356C0">
      <w:pPr>
        <w:pStyle w:val="ListParagraph"/>
        <w:spacing w:line="480" w:lineRule="auto"/>
        <w:rPr>
          <w:rFonts w:ascii="Times New Roman" w:hAnsi="Times New Roman" w:cs="Times New Roman"/>
          <w:sz w:val="24"/>
          <w:szCs w:val="24"/>
        </w:rPr>
      </w:pPr>
    </w:p>
    <w:p w:rsidR="00B462D5" w:rsidRDefault="00B462D5">
      <w:pPr>
        <w:rPr>
          <w:rFonts w:ascii="Times New Roman" w:hAnsi="Times New Roman" w:cs="Times New Roman"/>
          <w:sz w:val="24"/>
          <w:szCs w:val="24"/>
        </w:rPr>
      </w:pPr>
      <w:r>
        <w:rPr>
          <w:rFonts w:ascii="Times New Roman" w:hAnsi="Times New Roman" w:cs="Times New Roman"/>
          <w:sz w:val="24"/>
          <w:szCs w:val="24"/>
        </w:rPr>
        <w:br w:type="page"/>
      </w:r>
    </w:p>
    <w:p w:rsidR="005356C0" w:rsidRDefault="00B462D5" w:rsidP="00B462D5">
      <w:pPr>
        <w:pStyle w:val="ListParagraph"/>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Appendix 2</w:t>
      </w:r>
    </w:p>
    <w:p w:rsidR="00B462D5" w:rsidRDefault="00B462D5" w:rsidP="00B462D5">
      <w:pPr>
        <w:pStyle w:val="ListParagraph"/>
        <w:spacing w:line="480" w:lineRule="auto"/>
        <w:jc w:val="center"/>
        <w:rPr>
          <w:rFonts w:ascii="Times New Roman" w:hAnsi="Times New Roman" w:cs="Times New Roman"/>
          <w:sz w:val="24"/>
          <w:szCs w:val="24"/>
          <w:u w:val="single"/>
        </w:rPr>
      </w:pPr>
      <w:r w:rsidRPr="00B462D5">
        <w:rPr>
          <w:rFonts w:ascii="Times New Roman" w:hAnsi="Times New Roman" w:cs="Times New Roman"/>
          <w:sz w:val="24"/>
          <w:szCs w:val="24"/>
          <w:u w:val="single"/>
        </w:rPr>
        <w:t>Scatter Plots</w:t>
      </w:r>
    </w:p>
    <w:p w:rsidR="00B462D5" w:rsidRPr="00B462D5" w:rsidRDefault="00B462D5" w:rsidP="00B462D5">
      <w:pPr>
        <w:pStyle w:val="ListParagraph"/>
        <w:spacing w:line="480" w:lineRule="auto"/>
        <w:rPr>
          <w:rFonts w:ascii="Times New Roman" w:hAnsi="Times New Roman" w:cs="Times New Roman"/>
          <w:sz w:val="24"/>
          <w:szCs w:val="24"/>
        </w:rPr>
      </w:pPr>
      <w:r>
        <w:rPr>
          <w:noProof/>
        </w:rPr>
        <w:drawing>
          <wp:inline distT="0" distB="0" distL="0" distR="0">
            <wp:extent cx="2628900" cy="2171700"/>
            <wp:effectExtent l="19050" t="0" r="19050" b="0"/>
            <wp:docPr id="1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noProof/>
        </w:rPr>
        <w:drawing>
          <wp:inline distT="0" distB="0" distL="0" distR="0">
            <wp:extent cx="2720340" cy="2171700"/>
            <wp:effectExtent l="19050" t="0" r="22860" b="0"/>
            <wp:docPr id="1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noProof/>
        </w:rPr>
        <w:drawing>
          <wp:inline distT="0" distB="0" distL="0" distR="0">
            <wp:extent cx="2628900" cy="2194560"/>
            <wp:effectExtent l="19050" t="0" r="19050" b="0"/>
            <wp:docPr id="2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noProof/>
        </w:rPr>
        <w:drawing>
          <wp:inline distT="0" distB="0" distL="0" distR="0">
            <wp:extent cx="2670810" cy="2152650"/>
            <wp:effectExtent l="19050" t="0" r="15240" b="0"/>
            <wp:docPr id="2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rPr>
        <w:drawing>
          <wp:inline distT="0" distB="0" distL="0" distR="0">
            <wp:extent cx="2628900" cy="2278380"/>
            <wp:effectExtent l="19050" t="0" r="19050" b="7620"/>
            <wp:docPr id="2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noProof/>
        </w:rPr>
        <w:drawing>
          <wp:inline distT="0" distB="0" distL="0" distR="0">
            <wp:extent cx="2670810" cy="2240280"/>
            <wp:effectExtent l="19050" t="0" r="15240" b="7620"/>
            <wp:docPr id="23"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noProof/>
        </w:rPr>
        <w:lastRenderedPageBreak/>
        <w:drawing>
          <wp:inline distT="0" distB="0" distL="0" distR="0">
            <wp:extent cx="2537460" cy="2110740"/>
            <wp:effectExtent l="19050" t="0" r="15240" b="3810"/>
            <wp:docPr id="24"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rPr>
        <w:drawing>
          <wp:inline distT="0" distB="0" distL="0" distR="0">
            <wp:extent cx="2670810" cy="2110740"/>
            <wp:effectExtent l="19050" t="0" r="15240" b="3810"/>
            <wp:docPr id="25"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Pr>
          <w:noProof/>
        </w:rPr>
        <w:drawing>
          <wp:inline distT="0" distB="0" distL="0" distR="0">
            <wp:extent cx="2545080" cy="1988820"/>
            <wp:effectExtent l="19050" t="0" r="26670" b="0"/>
            <wp:docPr id="26"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Pr>
          <w:noProof/>
        </w:rPr>
        <w:drawing>
          <wp:inline distT="0" distB="0" distL="0" distR="0">
            <wp:extent cx="2556510" cy="2030730"/>
            <wp:effectExtent l="19050" t="0" r="15240" b="7620"/>
            <wp:docPr id="27"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noProof/>
        </w:rPr>
        <w:drawing>
          <wp:inline distT="0" distB="0" distL="0" distR="0">
            <wp:extent cx="2575560" cy="2205990"/>
            <wp:effectExtent l="19050" t="0" r="15240" b="3810"/>
            <wp:docPr id="28"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Pr>
          <w:noProof/>
        </w:rPr>
        <w:drawing>
          <wp:inline distT="0" distB="0" distL="0" distR="0">
            <wp:extent cx="2541270" cy="2202180"/>
            <wp:effectExtent l="19050" t="0" r="11430" b="7620"/>
            <wp:docPr id="29"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noProof/>
        </w:rPr>
        <w:lastRenderedPageBreak/>
        <w:drawing>
          <wp:inline distT="0" distB="0" distL="0" distR="0">
            <wp:extent cx="2537460" cy="2339340"/>
            <wp:effectExtent l="19050" t="0" r="15240" b="3810"/>
            <wp:docPr id="30"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Pr>
          <w:noProof/>
        </w:rPr>
        <w:drawing>
          <wp:inline distT="0" distB="0" distL="0" distR="0">
            <wp:extent cx="2529840" cy="2339340"/>
            <wp:effectExtent l="19050" t="0" r="22860" b="3810"/>
            <wp:docPr id="31"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00E21DCB" w:rsidRPr="00E21DCB">
        <w:rPr>
          <w:rFonts w:ascii="Times New Roman" w:hAnsi="Times New Roman" w:cs="Times New Roman"/>
          <w:sz w:val="24"/>
          <w:szCs w:val="24"/>
        </w:rPr>
        <w:drawing>
          <wp:inline distT="0" distB="0" distL="0" distR="0">
            <wp:extent cx="2575560" cy="2308860"/>
            <wp:effectExtent l="19050" t="0" r="15240" b="0"/>
            <wp:docPr id="34"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Pr>
          <w:noProof/>
        </w:rPr>
        <w:drawing>
          <wp:inline distT="0" distB="0" distL="0" distR="0">
            <wp:extent cx="2487930" cy="2305050"/>
            <wp:effectExtent l="19050" t="0" r="26670" b="0"/>
            <wp:docPr id="32"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sectPr w:rsidR="00B462D5" w:rsidRPr="00B462D5" w:rsidSect="00E044A9">
      <w:footerReference w:type="default" r:id="rId29"/>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2D07" w:rsidRDefault="00F82D07" w:rsidP="00F82D07">
      <w:pPr>
        <w:spacing w:after="0" w:line="240" w:lineRule="auto"/>
      </w:pPr>
      <w:r>
        <w:separator/>
      </w:r>
    </w:p>
  </w:endnote>
  <w:endnote w:type="continuationSeparator" w:id="0">
    <w:p w:rsidR="00F82D07" w:rsidRDefault="00F82D07" w:rsidP="00F82D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824403"/>
      <w:docPartObj>
        <w:docPartGallery w:val="Page Numbers (Bottom of Page)"/>
        <w:docPartUnique/>
      </w:docPartObj>
    </w:sdtPr>
    <w:sdtContent>
      <w:p w:rsidR="00F82D07" w:rsidRDefault="00F82D07">
        <w:pPr>
          <w:pStyle w:val="Footer"/>
          <w:jc w:val="center"/>
        </w:pPr>
        <w:fldSimple w:instr=" PAGE   \* MERGEFORMAT ">
          <w:r>
            <w:rPr>
              <w:noProof/>
            </w:rPr>
            <w:t>2</w:t>
          </w:r>
        </w:fldSimple>
      </w:p>
    </w:sdtContent>
  </w:sdt>
  <w:p w:rsidR="00F82D07" w:rsidRDefault="00F82D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2D07" w:rsidRDefault="00F82D07" w:rsidP="00F82D07">
      <w:pPr>
        <w:spacing w:after="0" w:line="240" w:lineRule="auto"/>
      </w:pPr>
      <w:r>
        <w:separator/>
      </w:r>
    </w:p>
  </w:footnote>
  <w:footnote w:type="continuationSeparator" w:id="0">
    <w:p w:rsidR="00F82D07" w:rsidRDefault="00F82D07" w:rsidP="00F82D0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210B88"/>
    <w:multiLevelType w:val="hybridMultilevel"/>
    <w:tmpl w:val="7E4E0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rsids>
    <w:rsidRoot w:val="00877D8F"/>
    <w:rsid w:val="0001124C"/>
    <w:rsid w:val="00012424"/>
    <w:rsid w:val="00030596"/>
    <w:rsid w:val="00060ED0"/>
    <w:rsid w:val="00082785"/>
    <w:rsid w:val="000D6172"/>
    <w:rsid w:val="00107284"/>
    <w:rsid w:val="001B0D90"/>
    <w:rsid w:val="001C2674"/>
    <w:rsid w:val="001F04C5"/>
    <w:rsid w:val="001F5A2B"/>
    <w:rsid w:val="00236862"/>
    <w:rsid w:val="0024090C"/>
    <w:rsid w:val="002A4897"/>
    <w:rsid w:val="003054BD"/>
    <w:rsid w:val="00314ADA"/>
    <w:rsid w:val="003F0C6A"/>
    <w:rsid w:val="004A31C4"/>
    <w:rsid w:val="004A3B5B"/>
    <w:rsid w:val="00506F50"/>
    <w:rsid w:val="00534D19"/>
    <w:rsid w:val="005356C0"/>
    <w:rsid w:val="00544A5A"/>
    <w:rsid w:val="00552AD9"/>
    <w:rsid w:val="005A1429"/>
    <w:rsid w:val="005B07F3"/>
    <w:rsid w:val="0061385B"/>
    <w:rsid w:val="00624EC2"/>
    <w:rsid w:val="00633EEF"/>
    <w:rsid w:val="00682510"/>
    <w:rsid w:val="006973EB"/>
    <w:rsid w:val="007361EE"/>
    <w:rsid w:val="007401DC"/>
    <w:rsid w:val="00766F4A"/>
    <w:rsid w:val="007A391A"/>
    <w:rsid w:val="007B3A75"/>
    <w:rsid w:val="007B4E7D"/>
    <w:rsid w:val="007C3FF5"/>
    <w:rsid w:val="00812C9A"/>
    <w:rsid w:val="00877D8F"/>
    <w:rsid w:val="008B4BD6"/>
    <w:rsid w:val="008D5E37"/>
    <w:rsid w:val="008D613B"/>
    <w:rsid w:val="008E4F49"/>
    <w:rsid w:val="008F3CCB"/>
    <w:rsid w:val="00915F56"/>
    <w:rsid w:val="009256E7"/>
    <w:rsid w:val="00937F80"/>
    <w:rsid w:val="0096525F"/>
    <w:rsid w:val="00971345"/>
    <w:rsid w:val="009F33AD"/>
    <w:rsid w:val="00A04856"/>
    <w:rsid w:val="00A132CF"/>
    <w:rsid w:val="00A71D1E"/>
    <w:rsid w:val="00A83824"/>
    <w:rsid w:val="00AA3BFC"/>
    <w:rsid w:val="00AF69C2"/>
    <w:rsid w:val="00B462D5"/>
    <w:rsid w:val="00B875E5"/>
    <w:rsid w:val="00B9233A"/>
    <w:rsid w:val="00BC26B8"/>
    <w:rsid w:val="00BE0550"/>
    <w:rsid w:val="00C06648"/>
    <w:rsid w:val="00C13577"/>
    <w:rsid w:val="00D41855"/>
    <w:rsid w:val="00E044A9"/>
    <w:rsid w:val="00E21DCB"/>
    <w:rsid w:val="00E42FB1"/>
    <w:rsid w:val="00EA1E85"/>
    <w:rsid w:val="00EC4D94"/>
    <w:rsid w:val="00EF49AC"/>
    <w:rsid w:val="00F14D09"/>
    <w:rsid w:val="00F24494"/>
    <w:rsid w:val="00F43795"/>
    <w:rsid w:val="00F82D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4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A142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B07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7F3"/>
    <w:rPr>
      <w:rFonts w:ascii="Tahoma" w:hAnsi="Tahoma" w:cs="Tahoma"/>
      <w:sz w:val="16"/>
      <w:szCs w:val="16"/>
    </w:rPr>
  </w:style>
  <w:style w:type="paragraph" w:styleId="ListParagraph">
    <w:name w:val="List Paragraph"/>
    <w:basedOn w:val="Normal"/>
    <w:uiPriority w:val="34"/>
    <w:qFormat/>
    <w:rsid w:val="001C2674"/>
    <w:pPr>
      <w:ind w:left="720"/>
      <w:contextualSpacing/>
    </w:pPr>
  </w:style>
  <w:style w:type="character" w:styleId="Hyperlink">
    <w:name w:val="Hyperlink"/>
    <w:basedOn w:val="DefaultParagraphFont"/>
    <w:uiPriority w:val="99"/>
    <w:unhideWhenUsed/>
    <w:rsid w:val="001C2674"/>
    <w:rPr>
      <w:color w:val="0000FF" w:themeColor="hyperlink"/>
      <w:u w:val="single"/>
    </w:rPr>
  </w:style>
  <w:style w:type="paragraph" w:styleId="NoSpacing">
    <w:name w:val="No Spacing"/>
    <w:link w:val="NoSpacingChar"/>
    <w:uiPriority w:val="1"/>
    <w:qFormat/>
    <w:rsid w:val="00E044A9"/>
    <w:pPr>
      <w:spacing w:after="0" w:line="240" w:lineRule="auto"/>
    </w:pPr>
    <w:rPr>
      <w:rFonts w:eastAsiaTheme="minorEastAsia"/>
    </w:rPr>
  </w:style>
  <w:style w:type="character" w:customStyle="1" w:styleId="NoSpacingChar">
    <w:name w:val="No Spacing Char"/>
    <w:basedOn w:val="DefaultParagraphFont"/>
    <w:link w:val="NoSpacing"/>
    <w:uiPriority w:val="1"/>
    <w:rsid w:val="00E044A9"/>
    <w:rPr>
      <w:rFonts w:eastAsiaTheme="minorEastAsia"/>
    </w:rPr>
  </w:style>
  <w:style w:type="paragraph" w:styleId="Header">
    <w:name w:val="header"/>
    <w:basedOn w:val="Normal"/>
    <w:link w:val="HeaderChar"/>
    <w:uiPriority w:val="99"/>
    <w:unhideWhenUsed/>
    <w:rsid w:val="00F82D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D07"/>
  </w:style>
  <w:style w:type="paragraph" w:styleId="Footer">
    <w:name w:val="footer"/>
    <w:basedOn w:val="Normal"/>
    <w:link w:val="FooterChar"/>
    <w:uiPriority w:val="99"/>
    <w:unhideWhenUsed/>
    <w:rsid w:val="00F82D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D07"/>
  </w:style>
</w:styles>
</file>

<file path=word/webSettings.xml><?xml version="1.0" encoding="utf-8"?>
<w:webSettings xmlns:r="http://schemas.openxmlformats.org/officeDocument/2006/relationships" xmlns:w="http://schemas.openxmlformats.org/wordprocessingml/2006/main">
  <w:divs>
    <w:div w:id="34622359">
      <w:bodyDiv w:val="1"/>
      <w:marLeft w:val="0"/>
      <w:marRight w:val="0"/>
      <w:marTop w:val="0"/>
      <w:marBottom w:val="0"/>
      <w:divBdr>
        <w:top w:val="none" w:sz="0" w:space="0" w:color="auto"/>
        <w:left w:val="none" w:sz="0" w:space="0" w:color="auto"/>
        <w:bottom w:val="none" w:sz="0" w:space="0" w:color="auto"/>
        <w:right w:val="none" w:sz="0" w:space="0" w:color="auto"/>
      </w:divBdr>
    </w:div>
    <w:div w:id="182020069">
      <w:bodyDiv w:val="1"/>
      <w:marLeft w:val="0"/>
      <w:marRight w:val="0"/>
      <w:marTop w:val="0"/>
      <w:marBottom w:val="0"/>
      <w:divBdr>
        <w:top w:val="none" w:sz="0" w:space="0" w:color="auto"/>
        <w:left w:val="none" w:sz="0" w:space="0" w:color="auto"/>
        <w:bottom w:val="none" w:sz="0" w:space="0" w:color="auto"/>
        <w:right w:val="none" w:sz="0" w:space="0" w:color="auto"/>
      </w:divBdr>
    </w:div>
    <w:div w:id="401023095">
      <w:bodyDiv w:val="1"/>
      <w:marLeft w:val="0"/>
      <w:marRight w:val="0"/>
      <w:marTop w:val="0"/>
      <w:marBottom w:val="0"/>
      <w:divBdr>
        <w:top w:val="none" w:sz="0" w:space="0" w:color="auto"/>
        <w:left w:val="none" w:sz="0" w:space="0" w:color="auto"/>
        <w:bottom w:val="none" w:sz="0" w:space="0" w:color="auto"/>
        <w:right w:val="none" w:sz="0" w:space="0" w:color="auto"/>
      </w:divBdr>
    </w:div>
    <w:div w:id="485561197">
      <w:bodyDiv w:val="1"/>
      <w:marLeft w:val="0"/>
      <w:marRight w:val="0"/>
      <w:marTop w:val="0"/>
      <w:marBottom w:val="0"/>
      <w:divBdr>
        <w:top w:val="none" w:sz="0" w:space="0" w:color="auto"/>
        <w:left w:val="none" w:sz="0" w:space="0" w:color="auto"/>
        <w:bottom w:val="none" w:sz="0" w:space="0" w:color="auto"/>
        <w:right w:val="none" w:sz="0" w:space="0" w:color="auto"/>
      </w:divBdr>
    </w:div>
    <w:div w:id="519511315">
      <w:bodyDiv w:val="1"/>
      <w:marLeft w:val="0"/>
      <w:marRight w:val="0"/>
      <w:marTop w:val="0"/>
      <w:marBottom w:val="0"/>
      <w:divBdr>
        <w:top w:val="none" w:sz="0" w:space="0" w:color="auto"/>
        <w:left w:val="none" w:sz="0" w:space="0" w:color="auto"/>
        <w:bottom w:val="none" w:sz="0" w:space="0" w:color="auto"/>
        <w:right w:val="none" w:sz="0" w:space="0" w:color="auto"/>
      </w:divBdr>
    </w:div>
    <w:div w:id="600140177">
      <w:bodyDiv w:val="1"/>
      <w:marLeft w:val="0"/>
      <w:marRight w:val="0"/>
      <w:marTop w:val="0"/>
      <w:marBottom w:val="0"/>
      <w:divBdr>
        <w:top w:val="none" w:sz="0" w:space="0" w:color="auto"/>
        <w:left w:val="none" w:sz="0" w:space="0" w:color="auto"/>
        <w:bottom w:val="none" w:sz="0" w:space="0" w:color="auto"/>
        <w:right w:val="none" w:sz="0" w:space="0" w:color="auto"/>
      </w:divBdr>
    </w:div>
    <w:div w:id="642731705">
      <w:bodyDiv w:val="1"/>
      <w:marLeft w:val="0"/>
      <w:marRight w:val="0"/>
      <w:marTop w:val="0"/>
      <w:marBottom w:val="0"/>
      <w:divBdr>
        <w:top w:val="none" w:sz="0" w:space="0" w:color="auto"/>
        <w:left w:val="none" w:sz="0" w:space="0" w:color="auto"/>
        <w:bottom w:val="none" w:sz="0" w:space="0" w:color="auto"/>
        <w:right w:val="none" w:sz="0" w:space="0" w:color="auto"/>
      </w:divBdr>
    </w:div>
    <w:div w:id="696345173">
      <w:bodyDiv w:val="1"/>
      <w:marLeft w:val="0"/>
      <w:marRight w:val="0"/>
      <w:marTop w:val="0"/>
      <w:marBottom w:val="0"/>
      <w:divBdr>
        <w:top w:val="none" w:sz="0" w:space="0" w:color="auto"/>
        <w:left w:val="none" w:sz="0" w:space="0" w:color="auto"/>
        <w:bottom w:val="none" w:sz="0" w:space="0" w:color="auto"/>
        <w:right w:val="none" w:sz="0" w:space="0" w:color="auto"/>
      </w:divBdr>
    </w:div>
    <w:div w:id="808742216">
      <w:bodyDiv w:val="1"/>
      <w:marLeft w:val="0"/>
      <w:marRight w:val="0"/>
      <w:marTop w:val="0"/>
      <w:marBottom w:val="0"/>
      <w:divBdr>
        <w:top w:val="none" w:sz="0" w:space="0" w:color="auto"/>
        <w:left w:val="none" w:sz="0" w:space="0" w:color="auto"/>
        <w:bottom w:val="none" w:sz="0" w:space="0" w:color="auto"/>
        <w:right w:val="none" w:sz="0" w:space="0" w:color="auto"/>
      </w:divBdr>
    </w:div>
    <w:div w:id="1060982330">
      <w:bodyDiv w:val="1"/>
      <w:marLeft w:val="0"/>
      <w:marRight w:val="0"/>
      <w:marTop w:val="0"/>
      <w:marBottom w:val="0"/>
      <w:divBdr>
        <w:top w:val="none" w:sz="0" w:space="0" w:color="auto"/>
        <w:left w:val="none" w:sz="0" w:space="0" w:color="auto"/>
        <w:bottom w:val="none" w:sz="0" w:space="0" w:color="auto"/>
        <w:right w:val="none" w:sz="0" w:space="0" w:color="auto"/>
      </w:divBdr>
    </w:div>
    <w:div w:id="1091967154">
      <w:bodyDiv w:val="1"/>
      <w:marLeft w:val="0"/>
      <w:marRight w:val="0"/>
      <w:marTop w:val="0"/>
      <w:marBottom w:val="0"/>
      <w:divBdr>
        <w:top w:val="none" w:sz="0" w:space="0" w:color="auto"/>
        <w:left w:val="none" w:sz="0" w:space="0" w:color="auto"/>
        <w:bottom w:val="none" w:sz="0" w:space="0" w:color="auto"/>
        <w:right w:val="none" w:sz="0" w:space="0" w:color="auto"/>
      </w:divBdr>
    </w:div>
    <w:div w:id="1124540766">
      <w:bodyDiv w:val="1"/>
      <w:marLeft w:val="0"/>
      <w:marRight w:val="0"/>
      <w:marTop w:val="0"/>
      <w:marBottom w:val="0"/>
      <w:divBdr>
        <w:top w:val="none" w:sz="0" w:space="0" w:color="auto"/>
        <w:left w:val="none" w:sz="0" w:space="0" w:color="auto"/>
        <w:bottom w:val="none" w:sz="0" w:space="0" w:color="auto"/>
        <w:right w:val="none" w:sz="0" w:space="0" w:color="auto"/>
      </w:divBdr>
    </w:div>
    <w:div w:id="1420642449">
      <w:bodyDiv w:val="1"/>
      <w:marLeft w:val="0"/>
      <w:marRight w:val="0"/>
      <w:marTop w:val="0"/>
      <w:marBottom w:val="0"/>
      <w:divBdr>
        <w:top w:val="none" w:sz="0" w:space="0" w:color="auto"/>
        <w:left w:val="none" w:sz="0" w:space="0" w:color="auto"/>
        <w:bottom w:val="none" w:sz="0" w:space="0" w:color="auto"/>
        <w:right w:val="none" w:sz="0" w:space="0" w:color="auto"/>
      </w:divBdr>
    </w:div>
    <w:div w:id="1435126371">
      <w:bodyDiv w:val="1"/>
      <w:marLeft w:val="0"/>
      <w:marRight w:val="0"/>
      <w:marTop w:val="0"/>
      <w:marBottom w:val="0"/>
      <w:divBdr>
        <w:top w:val="none" w:sz="0" w:space="0" w:color="auto"/>
        <w:left w:val="none" w:sz="0" w:space="0" w:color="auto"/>
        <w:bottom w:val="none" w:sz="0" w:space="0" w:color="auto"/>
        <w:right w:val="none" w:sz="0" w:space="0" w:color="auto"/>
      </w:divBdr>
    </w:div>
    <w:div w:id="1540817081">
      <w:bodyDiv w:val="1"/>
      <w:marLeft w:val="0"/>
      <w:marRight w:val="0"/>
      <w:marTop w:val="0"/>
      <w:marBottom w:val="0"/>
      <w:divBdr>
        <w:top w:val="none" w:sz="0" w:space="0" w:color="auto"/>
        <w:left w:val="none" w:sz="0" w:space="0" w:color="auto"/>
        <w:bottom w:val="none" w:sz="0" w:space="0" w:color="auto"/>
        <w:right w:val="none" w:sz="0" w:space="0" w:color="auto"/>
      </w:divBdr>
    </w:div>
    <w:div w:id="1589726428">
      <w:bodyDiv w:val="1"/>
      <w:marLeft w:val="0"/>
      <w:marRight w:val="0"/>
      <w:marTop w:val="0"/>
      <w:marBottom w:val="0"/>
      <w:divBdr>
        <w:top w:val="none" w:sz="0" w:space="0" w:color="auto"/>
        <w:left w:val="none" w:sz="0" w:space="0" w:color="auto"/>
        <w:bottom w:val="none" w:sz="0" w:space="0" w:color="auto"/>
        <w:right w:val="none" w:sz="0" w:space="0" w:color="auto"/>
      </w:divBdr>
    </w:div>
    <w:div w:id="1674339620">
      <w:bodyDiv w:val="1"/>
      <w:marLeft w:val="0"/>
      <w:marRight w:val="0"/>
      <w:marTop w:val="0"/>
      <w:marBottom w:val="0"/>
      <w:divBdr>
        <w:top w:val="none" w:sz="0" w:space="0" w:color="auto"/>
        <w:left w:val="none" w:sz="0" w:space="0" w:color="auto"/>
        <w:bottom w:val="none" w:sz="0" w:space="0" w:color="auto"/>
        <w:right w:val="none" w:sz="0" w:space="0" w:color="auto"/>
      </w:divBdr>
    </w:div>
    <w:div w:id="1719357746">
      <w:bodyDiv w:val="1"/>
      <w:marLeft w:val="0"/>
      <w:marRight w:val="0"/>
      <w:marTop w:val="0"/>
      <w:marBottom w:val="0"/>
      <w:divBdr>
        <w:top w:val="none" w:sz="0" w:space="0" w:color="auto"/>
        <w:left w:val="none" w:sz="0" w:space="0" w:color="auto"/>
        <w:bottom w:val="none" w:sz="0" w:space="0" w:color="auto"/>
        <w:right w:val="none" w:sz="0" w:space="0" w:color="auto"/>
      </w:divBdr>
    </w:div>
    <w:div w:id="2099129792">
      <w:bodyDiv w:val="1"/>
      <w:marLeft w:val="0"/>
      <w:marRight w:val="0"/>
      <w:marTop w:val="0"/>
      <w:marBottom w:val="0"/>
      <w:divBdr>
        <w:top w:val="none" w:sz="0" w:space="0" w:color="auto"/>
        <w:left w:val="none" w:sz="0" w:space="0" w:color="auto"/>
        <w:bottom w:val="none" w:sz="0" w:space="0" w:color="auto"/>
        <w:right w:val="none" w:sz="0" w:space="0" w:color="auto"/>
      </w:divBdr>
    </w:div>
    <w:div w:id="211238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4.xml"/><Relationship Id="rId3" Type="http://schemas.openxmlformats.org/officeDocument/2006/relationships/numbering" Target="numbering.xml"/><Relationship Id="rId21" Type="http://schemas.openxmlformats.org/officeDocument/2006/relationships/chart" Target="charts/chart9.xml"/><Relationship Id="rId7" Type="http://schemas.openxmlformats.org/officeDocument/2006/relationships/footnotes" Target="footnotes.xml"/><Relationship Id="rId12" Type="http://schemas.openxmlformats.org/officeDocument/2006/relationships/hyperlink" Target="http://factfinder.census.gov/home/saff/main.html?_lang=en" TargetMode="External"/><Relationship Id="rId17" Type="http://schemas.openxmlformats.org/officeDocument/2006/relationships/chart" Target="charts/chart5.xml"/><Relationship Id="rId25" Type="http://schemas.openxmlformats.org/officeDocument/2006/relationships/chart" Target="charts/chart13.xml"/><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bi.gov/ucr/cius2008/data/table_06.html" TargetMode="External"/><Relationship Id="rId24" Type="http://schemas.openxmlformats.org/officeDocument/2006/relationships/chart" Target="charts/chart12.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chart" Target="charts/chart16.xml"/><Relationship Id="rId10" Type="http://schemas.openxmlformats.org/officeDocument/2006/relationships/image" Target="media/image2.png"/><Relationship Id="rId19" Type="http://schemas.openxmlformats.org/officeDocument/2006/relationships/chart" Target="charts/chart7.xm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L:\Geography%205301\Final%20Project\Crime%20in%20the%20United%20States%20by%20Metropolitan%20Area%20200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a:t>Violent Crime Rate per 100,000</a:t>
            </a:r>
          </a:p>
          <a:p>
            <a:pPr>
              <a:defRPr/>
            </a:pPr>
            <a:r>
              <a:rPr lang="en-US" sz="1000"/>
              <a:t>vs</a:t>
            </a:r>
          </a:p>
          <a:p>
            <a:pPr>
              <a:defRPr/>
            </a:pPr>
            <a:r>
              <a:rPr lang="en-US" sz="1000"/>
              <a:t>Average Houshold Size</a:t>
            </a:r>
          </a:p>
          <a:p>
            <a:pPr>
              <a:defRPr/>
            </a:pPr>
            <a:endParaRPr lang="en-US"/>
          </a:p>
        </c:rich>
      </c:tx>
      <c:layout/>
    </c:title>
    <c:plotArea>
      <c:layout>
        <c:manualLayout>
          <c:layoutTarget val="inner"/>
          <c:xMode val="edge"/>
          <c:yMode val="edge"/>
          <c:x val="0.13375240594925633"/>
          <c:y val="0.23468759113444151"/>
          <c:w val="0.61879068241469992"/>
          <c:h val="0.61493802857976154"/>
        </c:manualLayout>
      </c:layout>
      <c:scatterChart>
        <c:scatterStyle val="lineMarker"/>
        <c:ser>
          <c:idx val="0"/>
          <c:order val="0"/>
          <c:tx>
            <c:strRef>
              <c:f>City!$Z$1</c:f>
              <c:strCache>
                <c:ptCount val="1"/>
                <c:pt idx="0">
                  <c:v>Violent Crime Rate per 100,000</c:v>
                </c:pt>
              </c:strCache>
            </c:strRef>
          </c:tx>
          <c:spPr>
            <a:ln w="28575">
              <a:noFill/>
            </a:ln>
          </c:spPr>
          <c:xVal>
            <c:numRef>
              <c:f>City!$L$2:$L$41</c:f>
              <c:numCache>
                <c:formatCode>0.00</c:formatCode>
                <c:ptCount val="40"/>
                <c:pt idx="0">
                  <c:v>2.5099999999999998</c:v>
                </c:pt>
                <c:pt idx="1">
                  <c:v>2.38</c:v>
                </c:pt>
                <c:pt idx="2">
                  <c:v>2.27</c:v>
                </c:pt>
                <c:pt idx="3">
                  <c:v>2.36</c:v>
                </c:pt>
                <c:pt idx="4">
                  <c:v>2.2200000000000002</c:v>
                </c:pt>
                <c:pt idx="5">
                  <c:v>2.27</c:v>
                </c:pt>
                <c:pt idx="6">
                  <c:v>2.25</c:v>
                </c:pt>
                <c:pt idx="7">
                  <c:v>2.5499999999999998</c:v>
                </c:pt>
                <c:pt idx="8">
                  <c:v>2.54</c:v>
                </c:pt>
                <c:pt idx="9">
                  <c:v>2.4</c:v>
                </c:pt>
                <c:pt idx="10">
                  <c:v>2.64</c:v>
                </c:pt>
                <c:pt idx="11">
                  <c:v>2.39</c:v>
                </c:pt>
                <c:pt idx="12">
                  <c:v>2.13</c:v>
                </c:pt>
                <c:pt idx="13">
                  <c:v>2.25</c:v>
                </c:pt>
                <c:pt idx="14">
                  <c:v>2.1</c:v>
                </c:pt>
                <c:pt idx="15">
                  <c:v>2.4900000000000002</c:v>
                </c:pt>
                <c:pt idx="16">
                  <c:v>3.41</c:v>
                </c:pt>
                <c:pt idx="17">
                  <c:v>2.57</c:v>
                </c:pt>
                <c:pt idx="18">
                  <c:v>2.4900000000000002</c:v>
                </c:pt>
                <c:pt idx="19">
                  <c:v>2.68</c:v>
                </c:pt>
                <c:pt idx="20">
                  <c:v>2.4500000000000002</c:v>
                </c:pt>
                <c:pt idx="21">
                  <c:v>2.36</c:v>
                </c:pt>
                <c:pt idx="22">
                  <c:v>2.37</c:v>
                </c:pt>
                <c:pt idx="23">
                  <c:v>2.37</c:v>
                </c:pt>
                <c:pt idx="24">
                  <c:v>2.33</c:v>
                </c:pt>
                <c:pt idx="25">
                  <c:v>2.4700000000000002</c:v>
                </c:pt>
                <c:pt idx="26">
                  <c:v>2.3199999999999998</c:v>
                </c:pt>
                <c:pt idx="27">
                  <c:v>2.56</c:v>
                </c:pt>
                <c:pt idx="28">
                  <c:v>2.81</c:v>
                </c:pt>
                <c:pt idx="29">
                  <c:v>3.05</c:v>
                </c:pt>
                <c:pt idx="30">
                  <c:v>2.27</c:v>
                </c:pt>
                <c:pt idx="31">
                  <c:v>2.42</c:v>
                </c:pt>
                <c:pt idx="32">
                  <c:v>3.04</c:v>
                </c:pt>
                <c:pt idx="33">
                  <c:v>2.38</c:v>
                </c:pt>
                <c:pt idx="34">
                  <c:v>2.3199999999999998</c:v>
                </c:pt>
                <c:pt idx="35">
                  <c:v>2.4</c:v>
                </c:pt>
                <c:pt idx="36">
                  <c:v>2.97</c:v>
                </c:pt>
                <c:pt idx="37">
                  <c:v>3.1</c:v>
                </c:pt>
                <c:pt idx="38">
                  <c:v>2.48</c:v>
                </c:pt>
                <c:pt idx="39">
                  <c:v>2.61</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67462656"/>
        <c:axId val="67781376"/>
      </c:scatterChart>
      <c:valAx>
        <c:axId val="67462656"/>
        <c:scaling>
          <c:orientation val="minMax"/>
        </c:scaling>
        <c:axPos val="b"/>
        <c:numFmt formatCode="0.00" sourceLinked="1"/>
        <c:tickLblPos val="nextTo"/>
        <c:crossAx val="67781376"/>
        <c:crosses val="autoZero"/>
        <c:crossBetween val="midCat"/>
      </c:valAx>
      <c:valAx>
        <c:axId val="67781376"/>
        <c:scaling>
          <c:orientation val="minMax"/>
        </c:scaling>
        <c:axPos val="l"/>
        <c:majorGridlines/>
        <c:numFmt formatCode="0.0" sourceLinked="1"/>
        <c:tickLblPos val="nextTo"/>
        <c:crossAx val="67462656"/>
        <c:crosses val="autoZero"/>
        <c:crossBetween val="midCat"/>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a:t>Violent Crime Rate per 100,000</a:t>
            </a:r>
          </a:p>
          <a:p>
            <a:pPr>
              <a:defRPr/>
            </a:pPr>
            <a:r>
              <a:rPr lang="en-US" sz="1000"/>
              <a:t>vs</a:t>
            </a:r>
          </a:p>
          <a:p>
            <a:pPr>
              <a:defRPr/>
            </a:pPr>
            <a:r>
              <a:rPr lang="en-US" sz="1000"/>
              <a:t>Percent High School Graduate or Higher</a:t>
            </a:r>
          </a:p>
          <a:p>
            <a:pPr>
              <a:defRPr/>
            </a:pPr>
            <a:endParaRPr lang="en-US"/>
          </a:p>
        </c:rich>
      </c:tx>
      <c:layout>
        <c:manualLayout>
          <c:xMode val="edge"/>
          <c:yMode val="edge"/>
          <c:x val="0.16783018483761461"/>
          <c:y val="4.1966426858513192E-2"/>
        </c:manualLayout>
      </c:layout>
    </c:title>
    <c:plotArea>
      <c:layout/>
      <c:scatterChart>
        <c:scatterStyle val="lineMarker"/>
        <c:ser>
          <c:idx val="0"/>
          <c:order val="0"/>
          <c:tx>
            <c:strRef>
              <c:f>City!$Z$1</c:f>
              <c:strCache>
                <c:ptCount val="1"/>
                <c:pt idx="0">
                  <c:v>Violent Crime Rate per 100,000</c:v>
                </c:pt>
              </c:strCache>
            </c:strRef>
          </c:tx>
          <c:spPr>
            <a:ln w="28575">
              <a:noFill/>
            </a:ln>
          </c:spPr>
          <c:xVal>
            <c:numRef>
              <c:f>City!$M$2:$M$41</c:f>
              <c:numCache>
                <c:formatCode>0.0%</c:formatCode>
                <c:ptCount val="40"/>
                <c:pt idx="0">
                  <c:v>0.80900000000000005</c:v>
                </c:pt>
                <c:pt idx="1">
                  <c:v>0.85599999999999998</c:v>
                </c:pt>
                <c:pt idx="2">
                  <c:v>0.81799999999999995</c:v>
                </c:pt>
                <c:pt idx="3">
                  <c:v>0.84399999999999997</c:v>
                </c:pt>
                <c:pt idx="4">
                  <c:v>0.80200000000000005</c:v>
                </c:pt>
                <c:pt idx="5">
                  <c:v>0.85699999999999998</c:v>
                </c:pt>
                <c:pt idx="6">
                  <c:v>0.81599999999999995</c:v>
                </c:pt>
                <c:pt idx="7">
                  <c:v>0.79700000000000004</c:v>
                </c:pt>
                <c:pt idx="8">
                  <c:v>0.68</c:v>
                </c:pt>
                <c:pt idx="9">
                  <c:v>0.84</c:v>
                </c:pt>
                <c:pt idx="10">
                  <c:v>0.72799999999999998</c:v>
                </c:pt>
                <c:pt idx="11">
                  <c:v>0.84399999999999997</c:v>
                </c:pt>
                <c:pt idx="12">
                  <c:v>0.86599999999999999</c:v>
                </c:pt>
                <c:pt idx="13">
                  <c:v>0.81</c:v>
                </c:pt>
                <c:pt idx="14">
                  <c:v>0.87</c:v>
                </c:pt>
                <c:pt idx="15">
                  <c:v>0.81299999999999994</c:v>
                </c:pt>
                <c:pt idx="16">
                  <c:v>0.82399999999999995</c:v>
                </c:pt>
                <c:pt idx="17">
                  <c:v>0.81100000000000005</c:v>
                </c:pt>
                <c:pt idx="18">
                  <c:v>0.86799999999999999</c:v>
                </c:pt>
                <c:pt idx="19">
                  <c:v>0.81299999999999994</c:v>
                </c:pt>
                <c:pt idx="20">
                  <c:v>0.83899999999999997</c:v>
                </c:pt>
                <c:pt idx="21">
                  <c:v>0.83699999999999997</c:v>
                </c:pt>
                <c:pt idx="22">
                  <c:v>0.878</c:v>
                </c:pt>
                <c:pt idx="23">
                  <c:v>0.86499999999999999</c:v>
                </c:pt>
                <c:pt idx="24">
                  <c:v>0.8</c:v>
                </c:pt>
                <c:pt idx="25">
                  <c:v>0.85199999999999998</c:v>
                </c:pt>
                <c:pt idx="26">
                  <c:v>0.86599999999999999</c:v>
                </c:pt>
                <c:pt idx="27">
                  <c:v>0.75700000000000001</c:v>
                </c:pt>
                <c:pt idx="28">
                  <c:v>0.78900000000000003</c:v>
                </c:pt>
                <c:pt idx="29">
                  <c:v>0.77400000000000002</c:v>
                </c:pt>
                <c:pt idx="30">
                  <c:v>0.89200000000000002</c:v>
                </c:pt>
                <c:pt idx="31">
                  <c:v>0.88</c:v>
                </c:pt>
                <c:pt idx="32">
                  <c:v>0.749</c:v>
                </c:pt>
                <c:pt idx="33">
                  <c:v>0.89800000000000002</c:v>
                </c:pt>
                <c:pt idx="34">
                  <c:v>0.82499999999999996</c:v>
                </c:pt>
                <c:pt idx="35">
                  <c:v>0.83499999999999996</c:v>
                </c:pt>
                <c:pt idx="36">
                  <c:v>0.73199999999999998</c:v>
                </c:pt>
                <c:pt idx="37">
                  <c:v>0.81699999999999995</c:v>
                </c:pt>
                <c:pt idx="38">
                  <c:v>0.88400000000000001</c:v>
                </c:pt>
                <c:pt idx="39">
                  <c:v>0.92200000000000004</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72002560"/>
        <c:axId val="72287360"/>
      </c:scatterChart>
      <c:valAx>
        <c:axId val="72002560"/>
        <c:scaling>
          <c:orientation val="minMax"/>
        </c:scaling>
        <c:axPos val="b"/>
        <c:numFmt formatCode="0.0%" sourceLinked="1"/>
        <c:tickLblPos val="nextTo"/>
        <c:crossAx val="72287360"/>
        <c:crosses val="autoZero"/>
        <c:crossBetween val="midCat"/>
      </c:valAx>
      <c:valAx>
        <c:axId val="72287360"/>
        <c:scaling>
          <c:orientation val="minMax"/>
        </c:scaling>
        <c:axPos val="l"/>
        <c:majorGridlines/>
        <c:numFmt formatCode="0.0" sourceLinked="1"/>
        <c:tickLblPos val="nextTo"/>
        <c:crossAx val="72002560"/>
        <c:crosses val="autoZero"/>
        <c:crossBetween val="midCat"/>
      </c:valAx>
    </c:plotArea>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a:t>Violent Crime Rate per 100,000</a:t>
            </a:r>
          </a:p>
          <a:p>
            <a:pPr>
              <a:defRPr/>
            </a:pPr>
            <a:r>
              <a:rPr lang="en-US" sz="1000"/>
              <a:t>vs</a:t>
            </a:r>
          </a:p>
          <a:p>
            <a:pPr>
              <a:defRPr/>
            </a:pPr>
            <a:r>
              <a:rPr lang="en-US" sz="1000"/>
              <a:t>Percent Bachelors Degree or Higher</a:t>
            </a:r>
          </a:p>
        </c:rich>
      </c:tx>
      <c:layout/>
    </c:title>
    <c:plotArea>
      <c:layout/>
      <c:scatterChart>
        <c:scatterStyle val="lineMarker"/>
        <c:ser>
          <c:idx val="0"/>
          <c:order val="0"/>
          <c:tx>
            <c:strRef>
              <c:f>City!$Z$1</c:f>
              <c:strCache>
                <c:ptCount val="1"/>
                <c:pt idx="0">
                  <c:v>Violent Crime Rate per 100,000</c:v>
                </c:pt>
              </c:strCache>
            </c:strRef>
          </c:tx>
          <c:spPr>
            <a:ln w="28575">
              <a:noFill/>
            </a:ln>
          </c:spPr>
          <c:xVal>
            <c:numRef>
              <c:f>City!$N$2:$N$41</c:f>
              <c:numCache>
                <c:formatCode>0.0%</c:formatCode>
                <c:ptCount val="40"/>
                <c:pt idx="0">
                  <c:v>0.222</c:v>
                </c:pt>
                <c:pt idx="1">
                  <c:v>0.317</c:v>
                </c:pt>
                <c:pt idx="2">
                  <c:v>0.21</c:v>
                </c:pt>
                <c:pt idx="3">
                  <c:v>0.32</c:v>
                </c:pt>
                <c:pt idx="4">
                  <c:v>0.20899999999999999</c:v>
                </c:pt>
                <c:pt idx="5">
                  <c:v>0.29399999999999998</c:v>
                </c:pt>
                <c:pt idx="6">
                  <c:v>0.28899999999999998</c:v>
                </c:pt>
                <c:pt idx="7">
                  <c:v>0.20300000000000001</c:v>
                </c:pt>
                <c:pt idx="8">
                  <c:v>0.13700000000000001</c:v>
                </c:pt>
                <c:pt idx="9">
                  <c:v>0.24399999999999999</c:v>
                </c:pt>
                <c:pt idx="10">
                  <c:v>0.153</c:v>
                </c:pt>
                <c:pt idx="11">
                  <c:v>0.32100000000000001</c:v>
                </c:pt>
                <c:pt idx="12">
                  <c:v>0.36899999999999999</c:v>
                </c:pt>
                <c:pt idx="13">
                  <c:v>0.152</c:v>
                </c:pt>
                <c:pt idx="14">
                  <c:v>0.32400000000000001</c:v>
                </c:pt>
                <c:pt idx="15">
                  <c:v>0.27200000000000002</c:v>
                </c:pt>
                <c:pt idx="16">
                  <c:v>0.30499999999999999</c:v>
                </c:pt>
                <c:pt idx="17">
                  <c:v>0.29199999999999998</c:v>
                </c:pt>
                <c:pt idx="18">
                  <c:v>0.23599999999999999</c:v>
                </c:pt>
                <c:pt idx="19">
                  <c:v>0.21299999999999999</c:v>
                </c:pt>
                <c:pt idx="20">
                  <c:v>0.26200000000000001</c:v>
                </c:pt>
                <c:pt idx="21">
                  <c:v>0.28199999999999997</c:v>
                </c:pt>
                <c:pt idx="22">
                  <c:v>0.39600000000000002</c:v>
                </c:pt>
                <c:pt idx="23">
                  <c:v>0.32300000000000001</c:v>
                </c:pt>
                <c:pt idx="24">
                  <c:v>0.32200000000000001</c:v>
                </c:pt>
                <c:pt idx="25">
                  <c:v>0.38900000000000001</c:v>
                </c:pt>
                <c:pt idx="26">
                  <c:v>0.315</c:v>
                </c:pt>
                <c:pt idx="27">
                  <c:v>0.16400000000000001</c:v>
                </c:pt>
                <c:pt idx="28">
                  <c:v>0.23100000000000001</c:v>
                </c:pt>
                <c:pt idx="29">
                  <c:v>0.19500000000000001</c:v>
                </c:pt>
                <c:pt idx="30">
                  <c:v>0.39600000000000002</c:v>
                </c:pt>
                <c:pt idx="31">
                  <c:v>0.316</c:v>
                </c:pt>
                <c:pt idx="32">
                  <c:v>0.19800000000000001</c:v>
                </c:pt>
                <c:pt idx="33">
                  <c:v>0.46300000000000002</c:v>
                </c:pt>
                <c:pt idx="34">
                  <c:v>0.38</c:v>
                </c:pt>
                <c:pt idx="35">
                  <c:v>0.42599999999999999</c:v>
                </c:pt>
                <c:pt idx="36">
                  <c:v>0.21199999999999999</c:v>
                </c:pt>
                <c:pt idx="37">
                  <c:v>0.35399999999999998</c:v>
                </c:pt>
                <c:pt idx="38">
                  <c:v>0.35</c:v>
                </c:pt>
                <c:pt idx="39">
                  <c:v>0.313</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18533504"/>
        <c:axId val="119150848"/>
      </c:scatterChart>
      <c:valAx>
        <c:axId val="118533504"/>
        <c:scaling>
          <c:orientation val="minMax"/>
        </c:scaling>
        <c:axPos val="b"/>
        <c:numFmt formatCode="0.0%" sourceLinked="1"/>
        <c:tickLblPos val="nextTo"/>
        <c:crossAx val="119150848"/>
        <c:crosses val="autoZero"/>
        <c:crossBetween val="midCat"/>
      </c:valAx>
      <c:valAx>
        <c:axId val="119150848"/>
        <c:scaling>
          <c:orientation val="minMax"/>
        </c:scaling>
        <c:axPos val="l"/>
        <c:majorGridlines/>
        <c:numFmt formatCode="0.0" sourceLinked="1"/>
        <c:tickLblPos val="nextTo"/>
        <c:crossAx val="118533504"/>
        <c:crosses val="autoZero"/>
        <c:crossBetween val="midCat"/>
      </c:valAx>
    </c:plotArea>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a:t>Violent Crime Rate per 100,000</a:t>
            </a:r>
          </a:p>
          <a:p>
            <a:pPr>
              <a:defRPr/>
            </a:pPr>
            <a:r>
              <a:rPr lang="en-US" sz="1000"/>
              <a:t>vs</a:t>
            </a:r>
          </a:p>
          <a:p>
            <a:pPr>
              <a:defRPr/>
            </a:pPr>
            <a:r>
              <a:rPr lang="en-US" sz="1000"/>
              <a:t>Male, Now Married except separated</a:t>
            </a:r>
          </a:p>
        </c:rich>
      </c:tx>
      <c:layout/>
    </c:title>
    <c:plotArea>
      <c:layout/>
      <c:scatterChart>
        <c:scatterStyle val="lineMarker"/>
        <c:ser>
          <c:idx val="0"/>
          <c:order val="0"/>
          <c:tx>
            <c:strRef>
              <c:f>City!$Z$1</c:f>
              <c:strCache>
                <c:ptCount val="1"/>
                <c:pt idx="0">
                  <c:v>Violent Crime Rate per 100,000</c:v>
                </c:pt>
              </c:strCache>
            </c:strRef>
          </c:tx>
          <c:spPr>
            <a:ln w="28575">
              <a:noFill/>
            </a:ln>
          </c:spPr>
          <c:xVal>
            <c:numRef>
              <c:f>City!$O$2:$O$41</c:f>
              <c:numCache>
                <c:formatCode>0.0%</c:formatCode>
                <c:ptCount val="40"/>
                <c:pt idx="0">
                  <c:v>0.35499999999999998</c:v>
                </c:pt>
                <c:pt idx="1">
                  <c:v>0.39700000000000002</c:v>
                </c:pt>
                <c:pt idx="2">
                  <c:v>0.33900000000000002</c:v>
                </c:pt>
                <c:pt idx="3">
                  <c:v>0.44800000000000001</c:v>
                </c:pt>
                <c:pt idx="4">
                  <c:v>0.32</c:v>
                </c:pt>
                <c:pt idx="5">
                  <c:v>0.47699999999999998</c:v>
                </c:pt>
                <c:pt idx="6">
                  <c:v>0.31</c:v>
                </c:pt>
                <c:pt idx="7">
                  <c:v>0.35499999999999998</c:v>
                </c:pt>
                <c:pt idx="8">
                  <c:v>0.28299999999999997</c:v>
                </c:pt>
                <c:pt idx="9">
                  <c:v>0.45900000000000002</c:v>
                </c:pt>
                <c:pt idx="10">
                  <c:v>0.40100000000000002</c:v>
                </c:pt>
                <c:pt idx="11">
                  <c:v>0.38</c:v>
                </c:pt>
                <c:pt idx="12">
                  <c:v>0.28599999999999998</c:v>
                </c:pt>
                <c:pt idx="13">
                  <c:v>0.33200000000000002</c:v>
                </c:pt>
                <c:pt idx="14">
                  <c:v>0.35199999999999998</c:v>
                </c:pt>
                <c:pt idx="15">
                  <c:v>0.42</c:v>
                </c:pt>
                <c:pt idx="16">
                  <c:v>0.28999999999999998</c:v>
                </c:pt>
                <c:pt idx="17">
                  <c:v>0.42599999999999999</c:v>
                </c:pt>
                <c:pt idx="18">
                  <c:v>0.499</c:v>
                </c:pt>
                <c:pt idx="19">
                  <c:v>0.50600000000000001</c:v>
                </c:pt>
                <c:pt idx="20">
                  <c:v>0.52200000000000002</c:v>
                </c:pt>
                <c:pt idx="21">
                  <c:v>0.38</c:v>
                </c:pt>
                <c:pt idx="22">
                  <c:v>0.502</c:v>
                </c:pt>
                <c:pt idx="23">
                  <c:v>0.47299999999999998</c:v>
                </c:pt>
                <c:pt idx="24">
                  <c:v>0.314</c:v>
                </c:pt>
                <c:pt idx="25">
                  <c:v>0.439</c:v>
                </c:pt>
                <c:pt idx="26">
                  <c:v>0.41099999999999998</c:v>
                </c:pt>
                <c:pt idx="27">
                  <c:v>0.41399999999999998</c:v>
                </c:pt>
                <c:pt idx="28">
                  <c:v>0.48399999999999999</c:v>
                </c:pt>
                <c:pt idx="29">
                  <c:v>0.50600000000000001</c:v>
                </c:pt>
                <c:pt idx="30">
                  <c:v>0.438</c:v>
                </c:pt>
                <c:pt idx="31">
                  <c:v>0.46600000000000003</c:v>
                </c:pt>
                <c:pt idx="32">
                  <c:v>0.44700000000000001</c:v>
                </c:pt>
                <c:pt idx="33">
                  <c:v>0.436</c:v>
                </c:pt>
                <c:pt idx="34">
                  <c:v>0.42299999999999999</c:v>
                </c:pt>
                <c:pt idx="35">
                  <c:v>0.43099999999999999</c:v>
                </c:pt>
                <c:pt idx="36">
                  <c:v>0.53200000000000003</c:v>
                </c:pt>
                <c:pt idx="37">
                  <c:v>0.53400000000000003</c:v>
                </c:pt>
                <c:pt idx="38">
                  <c:v>0.49399999999999999</c:v>
                </c:pt>
                <c:pt idx="39">
                  <c:v>0.54600000000000004</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20656640"/>
        <c:axId val="120658944"/>
      </c:scatterChart>
      <c:valAx>
        <c:axId val="120656640"/>
        <c:scaling>
          <c:orientation val="minMax"/>
        </c:scaling>
        <c:axPos val="b"/>
        <c:numFmt formatCode="0.0%" sourceLinked="1"/>
        <c:tickLblPos val="nextTo"/>
        <c:crossAx val="120658944"/>
        <c:crosses val="autoZero"/>
        <c:crossBetween val="midCat"/>
      </c:valAx>
      <c:valAx>
        <c:axId val="120658944"/>
        <c:scaling>
          <c:orientation val="minMax"/>
        </c:scaling>
        <c:axPos val="l"/>
        <c:majorGridlines/>
        <c:numFmt formatCode="0.0" sourceLinked="1"/>
        <c:tickLblPos val="nextTo"/>
        <c:crossAx val="120656640"/>
        <c:crosses val="autoZero"/>
        <c:crossBetween val="midCat"/>
      </c:valAx>
    </c:plotArea>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b="1"/>
              <a:t>Violent Crime Rate per 100,000</a:t>
            </a:r>
          </a:p>
          <a:p>
            <a:pPr>
              <a:defRPr/>
            </a:pPr>
            <a:r>
              <a:rPr lang="en-US" sz="1000" b="1"/>
              <a:t>vs</a:t>
            </a:r>
          </a:p>
          <a:p>
            <a:pPr>
              <a:defRPr/>
            </a:pPr>
            <a:r>
              <a:rPr lang="en-US" sz="1000" b="1"/>
              <a:t>In labor force (population 16 years and older)</a:t>
            </a:r>
          </a:p>
        </c:rich>
      </c:tx>
      <c:layout/>
    </c:title>
    <c:plotArea>
      <c:layout/>
      <c:scatterChart>
        <c:scatterStyle val="lineMarker"/>
        <c:ser>
          <c:idx val="0"/>
          <c:order val="0"/>
          <c:tx>
            <c:strRef>
              <c:f>City!$Z$1</c:f>
              <c:strCache>
                <c:ptCount val="1"/>
                <c:pt idx="0">
                  <c:v>Violent Crime Rate per 100,000</c:v>
                </c:pt>
              </c:strCache>
            </c:strRef>
          </c:tx>
          <c:spPr>
            <a:ln w="28575">
              <a:noFill/>
            </a:ln>
          </c:spPr>
          <c:xVal>
            <c:numRef>
              <c:f>City!$P$2:$P$41</c:f>
              <c:numCache>
                <c:formatCode>0.0%</c:formatCode>
                <c:ptCount val="40"/>
                <c:pt idx="0">
                  <c:v>0.65600000000000003</c:v>
                </c:pt>
                <c:pt idx="1">
                  <c:v>0.73199999999999998</c:v>
                </c:pt>
                <c:pt idx="2">
                  <c:v>0.62</c:v>
                </c:pt>
                <c:pt idx="3">
                  <c:v>0.68200000000000005</c:v>
                </c:pt>
                <c:pt idx="4">
                  <c:v>0.58499999999999996</c:v>
                </c:pt>
                <c:pt idx="5">
                  <c:v>0.66300000000000003</c:v>
                </c:pt>
                <c:pt idx="6">
                  <c:v>0.623</c:v>
                </c:pt>
                <c:pt idx="7">
                  <c:v>0.65700000000000003</c:v>
                </c:pt>
                <c:pt idx="8">
                  <c:v>0.63</c:v>
                </c:pt>
                <c:pt idx="9">
                  <c:v>0.69199999999999995</c:v>
                </c:pt>
                <c:pt idx="10">
                  <c:v>0.65800000000000003</c:v>
                </c:pt>
                <c:pt idx="11">
                  <c:v>0.64800000000000002</c:v>
                </c:pt>
                <c:pt idx="12">
                  <c:v>0.63100000000000001</c:v>
                </c:pt>
                <c:pt idx="13">
                  <c:v>0.6</c:v>
                </c:pt>
                <c:pt idx="14">
                  <c:v>0.59499999999999997</c:v>
                </c:pt>
                <c:pt idx="15">
                  <c:v>0.68</c:v>
                </c:pt>
                <c:pt idx="16">
                  <c:v>0.59499999999999997</c:v>
                </c:pt>
                <c:pt idx="17">
                  <c:v>0.65</c:v>
                </c:pt>
                <c:pt idx="18">
                  <c:v>0.68600000000000005</c:v>
                </c:pt>
                <c:pt idx="19">
                  <c:v>0.66800000000000004</c:v>
                </c:pt>
                <c:pt idx="20">
                  <c:v>0.67400000000000004</c:v>
                </c:pt>
                <c:pt idx="21">
                  <c:v>0.63600000000000001</c:v>
                </c:pt>
                <c:pt idx="22">
                  <c:v>0.74</c:v>
                </c:pt>
                <c:pt idx="23">
                  <c:v>0.67400000000000004</c:v>
                </c:pt>
                <c:pt idx="24">
                  <c:v>0.63100000000000001</c:v>
                </c:pt>
                <c:pt idx="25">
                  <c:v>0.70799999999999996</c:v>
                </c:pt>
                <c:pt idx="26">
                  <c:v>0.69899999999999995</c:v>
                </c:pt>
                <c:pt idx="27">
                  <c:v>0.627</c:v>
                </c:pt>
                <c:pt idx="28">
                  <c:v>0.64200000000000002</c:v>
                </c:pt>
                <c:pt idx="29">
                  <c:v>0.66</c:v>
                </c:pt>
                <c:pt idx="30">
                  <c:v>0.69699999999999995</c:v>
                </c:pt>
                <c:pt idx="31">
                  <c:v>0.70599999999999996</c:v>
                </c:pt>
                <c:pt idx="32">
                  <c:v>0.63900000000000001</c:v>
                </c:pt>
                <c:pt idx="33">
                  <c:v>0.71499999999999997</c:v>
                </c:pt>
                <c:pt idx="34">
                  <c:v>0.69499999999999995</c:v>
                </c:pt>
                <c:pt idx="35">
                  <c:v>0.74099999999999999</c:v>
                </c:pt>
                <c:pt idx="36">
                  <c:v>0.60199999999999998</c:v>
                </c:pt>
                <c:pt idx="37">
                  <c:v>0.67800000000000005</c:v>
                </c:pt>
                <c:pt idx="38">
                  <c:v>0.623</c:v>
                </c:pt>
                <c:pt idx="39">
                  <c:v>0.72899999999999998</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22588544"/>
        <c:axId val="122619776"/>
      </c:scatterChart>
      <c:valAx>
        <c:axId val="122588544"/>
        <c:scaling>
          <c:orientation val="minMax"/>
        </c:scaling>
        <c:axPos val="b"/>
        <c:numFmt formatCode="0.0%" sourceLinked="1"/>
        <c:tickLblPos val="nextTo"/>
        <c:crossAx val="122619776"/>
        <c:crosses val="autoZero"/>
        <c:crossBetween val="midCat"/>
      </c:valAx>
      <c:valAx>
        <c:axId val="122619776"/>
        <c:scaling>
          <c:orientation val="minMax"/>
        </c:scaling>
        <c:axPos val="l"/>
        <c:majorGridlines/>
        <c:numFmt formatCode="0.0" sourceLinked="1"/>
        <c:tickLblPos val="nextTo"/>
        <c:crossAx val="122588544"/>
        <c:crosses val="autoZero"/>
        <c:crossBetween val="midCat"/>
      </c:valAx>
    </c:plotArea>
    <c:plotVisOnly val="1"/>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a:t>Violent Crime Rate per 100,000</a:t>
            </a:r>
          </a:p>
          <a:p>
            <a:pPr>
              <a:defRPr/>
            </a:pPr>
            <a:r>
              <a:rPr lang="en-US" sz="1000"/>
              <a:t>vs</a:t>
            </a:r>
          </a:p>
          <a:p>
            <a:pPr>
              <a:defRPr/>
            </a:pPr>
            <a:r>
              <a:rPr lang="en-US" sz="1000"/>
              <a:t>Median household Income (2008 Inflation adjusted Dollars)</a:t>
            </a:r>
          </a:p>
          <a:p>
            <a:pPr>
              <a:defRPr/>
            </a:pPr>
            <a:endParaRPr lang="en-US"/>
          </a:p>
        </c:rich>
      </c:tx>
      <c:layout/>
    </c:title>
    <c:plotArea>
      <c:layout>
        <c:manualLayout>
          <c:layoutTarget val="inner"/>
          <c:xMode val="edge"/>
          <c:yMode val="edge"/>
          <c:x val="0.13375240594925633"/>
          <c:y val="0.24394685039370106"/>
          <c:w val="0.78294903762029944"/>
          <c:h val="0.60567876932050269"/>
        </c:manualLayout>
      </c:layout>
      <c:scatterChart>
        <c:scatterStyle val="lineMarker"/>
        <c:ser>
          <c:idx val="0"/>
          <c:order val="0"/>
          <c:tx>
            <c:strRef>
              <c:f>City!$Z$1</c:f>
              <c:strCache>
                <c:ptCount val="1"/>
                <c:pt idx="0">
                  <c:v>Violent Crime Rate per 100,000</c:v>
                </c:pt>
              </c:strCache>
            </c:strRef>
          </c:tx>
          <c:spPr>
            <a:ln w="28575">
              <a:noFill/>
            </a:ln>
          </c:spPr>
          <c:xVal>
            <c:numRef>
              <c:f>City!$Q$2:$Q$41</c:f>
              <c:numCache>
                <c:formatCode>"$"#,##0</c:formatCode>
                <c:ptCount val="40"/>
                <c:pt idx="0">
                  <c:v>36389</c:v>
                </c:pt>
                <c:pt idx="1">
                  <c:v>44287</c:v>
                </c:pt>
                <c:pt idx="2">
                  <c:v>32070</c:v>
                </c:pt>
                <c:pt idx="3">
                  <c:v>46029</c:v>
                </c:pt>
                <c:pt idx="4">
                  <c:v>29845</c:v>
                </c:pt>
                <c:pt idx="5">
                  <c:v>39373</c:v>
                </c:pt>
                <c:pt idx="6">
                  <c:v>33524</c:v>
                </c:pt>
                <c:pt idx="7">
                  <c:v>37022</c:v>
                </c:pt>
                <c:pt idx="8">
                  <c:v>29224</c:v>
                </c:pt>
                <c:pt idx="9">
                  <c:v>44830</c:v>
                </c:pt>
                <c:pt idx="10">
                  <c:v>41210</c:v>
                </c:pt>
                <c:pt idx="11">
                  <c:v>37242</c:v>
                </c:pt>
                <c:pt idx="12">
                  <c:v>40978</c:v>
                </c:pt>
                <c:pt idx="13">
                  <c:v>29630</c:v>
                </c:pt>
                <c:pt idx="14">
                  <c:v>34834</c:v>
                </c:pt>
                <c:pt idx="15">
                  <c:v>39269</c:v>
                </c:pt>
                <c:pt idx="16">
                  <c:v>39398</c:v>
                </c:pt>
                <c:pt idx="17">
                  <c:v>50651</c:v>
                </c:pt>
                <c:pt idx="18">
                  <c:v>49784</c:v>
                </c:pt>
                <c:pt idx="19">
                  <c:v>55113</c:v>
                </c:pt>
                <c:pt idx="20">
                  <c:v>43011</c:v>
                </c:pt>
                <c:pt idx="21">
                  <c:v>44794</c:v>
                </c:pt>
                <c:pt idx="22">
                  <c:v>53125</c:v>
                </c:pt>
                <c:pt idx="23">
                  <c:v>45962</c:v>
                </c:pt>
                <c:pt idx="24">
                  <c:v>38385</c:v>
                </c:pt>
                <c:pt idx="25">
                  <c:v>44552</c:v>
                </c:pt>
                <c:pt idx="26">
                  <c:v>43600</c:v>
                </c:pt>
                <c:pt idx="27">
                  <c:v>37955</c:v>
                </c:pt>
                <c:pt idx="28">
                  <c:v>42731</c:v>
                </c:pt>
                <c:pt idx="29">
                  <c:v>52160</c:v>
                </c:pt>
                <c:pt idx="30">
                  <c:v>48993</c:v>
                </c:pt>
                <c:pt idx="31">
                  <c:v>45979</c:v>
                </c:pt>
                <c:pt idx="32">
                  <c:v>42616</c:v>
                </c:pt>
                <c:pt idx="33">
                  <c:v>53926</c:v>
                </c:pt>
                <c:pt idx="34">
                  <c:v>45002</c:v>
                </c:pt>
                <c:pt idx="35">
                  <c:v>51004</c:v>
                </c:pt>
                <c:pt idx="36">
                  <c:v>36649</c:v>
                </c:pt>
                <c:pt idx="37">
                  <c:v>79796</c:v>
                </c:pt>
                <c:pt idx="38">
                  <c:v>59194</c:v>
                </c:pt>
                <c:pt idx="39">
                  <c:v>64755</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22659968"/>
        <c:axId val="122661504"/>
      </c:scatterChart>
      <c:valAx>
        <c:axId val="122659968"/>
        <c:scaling>
          <c:orientation val="minMax"/>
        </c:scaling>
        <c:axPos val="b"/>
        <c:numFmt formatCode="&quot;$&quot;#,##0" sourceLinked="1"/>
        <c:tickLblPos val="nextTo"/>
        <c:crossAx val="122661504"/>
        <c:crosses val="autoZero"/>
        <c:crossBetween val="midCat"/>
      </c:valAx>
      <c:valAx>
        <c:axId val="122661504"/>
        <c:scaling>
          <c:orientation val="minMax"/>
        </c:scaling>
        <c:axPos val="l"/>
        <c:majorGridlines/>
        <c:numFmt formatCode="0.0" sourceLinked="1"/>
        <c:tickLblPos val="nextTo"/>
        <c:crossAx val="122659968"/>
        <c:crosses val="autoZero"/>
        <c:crossBetween val="midCat"/>
      </c:valAx>
    </c:plotArea>
    <c:plotVisOnly val="1"/>
  </c:chart>
  <c:externalData r:id="rId1"/>
</c:chartSpace>
</file>

<file path=word/charts/chart7.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a:t>Violent Crime Rate per 100,000</a:t>
            </a:r>
          </a:p>
          <a:p>
            <a:pPr>
              <a:defRPr/>
            </a:pPr>
            <a:r>
              <a:rPr lang="en-US" sz="1000"/>
              <a:t>vs</a:t>
            </a:r>
          </a:p>
          <a:p>
            <a:pPr>
              <a:defRPr/>
            </a:pPr>
            <a:r>
              <a:rPr lang="en-US" sz="1000"/>
              <a:t>Individuals below poverty level</a:t>
            </a:r>
          </a:p>
          <a:p>
            <a:pPr>
              <a:defRPr/>
            </a:pPr>
            <a:endParaRPr lang="en-US"/>
          </a:p>
        </c:rich>
      </c:tx>
      <c:layout>
        <c:manualLayout>
          <c:xMode val="edge"/>
          <c:yMode val="edge"/>
          <c:x val="0.33784033245844342"/>
          <c:y val="3.2407407407407482E-2"/>
        </c:manualLayout>
      </c:layout>
    </c:title>
    <c:plotArea>
      <c:layout>
        <c:manualLayout>
          <c:layoutTarget val="inner"/>
          <c:xMode val="edge"/>
          <c:yMode val="edge"/>
          <c:x val="0.13375240594925633"/>
          <c:y val="0.23931722076407141"/>
          <c:w val="0.79558092738407693"/>
          <c:h val="0.61030839895013111"/>
        </c:manualLayout>
      </c:layout>
      <c:scatterChart>
        <c:scatterStyle val="lineMarker"/>
        <c:ser>
          <c:idx val="0"/>
          <c:order val="0"/>
          <c:tx>
            <c:strRef>
              <c:f>City!$Z$1</c:f>
              <c:strCache>
                <c:ptCount val="1"/>
                <c:pt idx="0">
                  <c:v>Violent Crime Rate per 100,000</c:v>
                </c:pt>
              </c:strCache>
            </c:strRef>
          </c:tx>
          <c:spPr>
            <a:ln w="28575">
              <a:noFill/>
            </a:ln>
          </c:spPr>
          <c:xVal>
            <c:numRef>
              <c:f>City!$R$2:$R$41</c:f>
              <c:numCache>
                <c:formatCode>0.0%</c:formatCode>
                <c:ptCount val="40"/>
                <c:pt idx="0">
                  <c:v>0.24099999999999999</c:v>
                </c:pt>
                <c:pt idx="1">
                  <c:v>0.16600000000000001</c:v>
                </c:pt>
                <c:pt idx="2">
                  <c:v>0.24199999999999999</c:v>
                </c:pt>
                <c:pt idx="3">
                  <c:v>0.16300000000000001</c:v>
                </c:pt>
                <c:pt idx="4">
                  <c:v>0.29899999999999999</c:v>
                </c:pt>
                <c:pt idx="5">
                  <c:v>0.192</c:v>
                </c:pt>
                <c:pt idx="6">
                  <c:v>0.25700000000000001</c:v>
                </c:pt>
                <c:pt idx="7">
                  <c:v>0.24399999999999999</c:v>
                </c:pt>
                <c:pt idx="8">
                  <c:v>0.32500000000000001</c:v>
                </c:pt>
                <c:pt idx="9">
                  <c:v>0.161</c:v>
                </c:pt>
                <c:pt idx="10">
                  <c:v>0.20300000000000001</c:v>
                </c:pt>
                <c:pt idx="11">
                  <c:v>0.25700000000000001</c:v>
                </c:pt>
                <c:pt idx="12">
                  <c:v>0.253</c:v>
                </c:pt>
                <c:pt idx="13">
                  <c:v>0.29799999999999999</c:v>
                </c:pt>
                <c:pt idx="14">
                  <c:v>0.216</c:v>
                </c:pt>
                <c:pt idx="15">
                  <c:v>0.23100000000000001</c:v>
                </c:pt>
                <c:pt idx="16">
                  <c:v>0.23799999999999999</c:v>
                </c:pt>
                <c:pt idx="17">
                  <c:v>0.153</c:v>
                </c:pt>
                <c:pt idx="18">
                  <c:v>0.128</c:v>
                </c:pt>
                <c:pt idx="19">
                  <c:v>0.11700000000000001</c:v>
                </c:pt>
                <c:pt idx="20">
                  <c:v>0.16500000000000001</c:v>
                </c:pt>
                <c:pt idx="21">
                  <c:v>0.17499999999999999</c:v>
                </c:pt>
                <c:pt idx="22">
                  <c:v>0.123</c:v>
                </c:pt>
                <c:pt idx="23">
                  <c:v>0.152</c:v>
                </c:pt>
                <c:pt idx="24">
                  <c:v>0.23</c:v>
                </c:pt>
                <c:pt idx="25">
                  <c:v>0.16800000000000001</c:v>
                </c:pt>
                <c:pt idx="26">
                  <c:v>0.20599999999999999</c:v>
                </c:pt>
                <c:pt idx="27">
                  <c:v>0.21099999999999999</c:v>
                </c:pt>
                <c:pt idx="28">
                  <c:v>0.185</c:v>
                </c:pt>
                <c:pt idx="29">
                  <c:v>0.16500000000000001</c:v>
                </c:pt>
                <c:pt idx="30">
                  <c:v>0.152</c:v>
                </c:pt>
                <c:pt idx="31">
                  <c:v>0.14699999999999999</c:v>
                </c:pt>
                <c:pt idx="32">
                  <c:v>0.23699999999999999</c:v>
                </c:pt>
                <c:pt idx="33">
                  <c:v>0.128</c:v>
                </c:pt>
                <c:pt idx="34">
                  <c:v>0.187</c:v>
                </c:pt>
                <c:pt idx="35">
                  <c:v>0.17599999999999999</c:v>
                </c:pt>
                <c:pt idx="36">
                  <c:v>0.25800000000000001</c:v>
                </c:pt>
                <c:pt idx="37">
                  <c:v>9.7000000000000003E-2</c:v>
                </c:pt>
                <c:pt idx="38">
                  <c:v>0.10199999999999999</c:v>
                </c:pt>
                <c:pt idx="39">
                  <c:v>6.8000000000000005E-2</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22685312"/>
        <c:axId val="122686848"/>
      </c:scatterChart>
      <c:valAx>
        <c:axId val="122685312"/>
        <c:scaling>
          <c:orientation val="minMax"/>
        </c:scaling>
        <c:axPos val="b"/>
        <c:numFmt formatCode="0.0%" sourceLinked="1"/>
        <c:tickLblPos val="nextTo"/>
        <c:crossAx val="122686848"/>
        <c:crosses val="autoZero"/>
        <c:crossBetween val="midCat"/>
      </c:valAx>
      <c:valAx>
        <c:axId val="122686848"/>
        <c:scaling>
          <c:orientation val="minMax"/>
        </c:scaling>
        <c:axPos val="l"/>
        <c:majorGridlines/>
        <c:numFmt formatCode="0.0" sourceLinked="1"/>
        <c:tickLblPos val="nextTo"/>
        <c:crossAx val="122685312"/>
        <c:crosses val="autoZero"/>
        <c:crossBetween val="midCat"/>
      </c:valAx>
    </c:plotArea>
    <c:plotVisOnly val="1"/>
  </c:chart>
  <c:externalData r:id="rId1"/>
</c:chartSpace>
</file>

<file path=word/charts/chart8.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200"/>
              <a:t>Violent Crime Rate per 100,000</a:t>
            </a:r>
          </a:p>
          <a:p>
            <a:pPr>
              <a:defRPr/>
            </a:pPr>
            <a:r>
              <a:rPr lang="en-US" sz="1200"/>
              <a:t>vs</a:t>
            </a:r>
          </a:p>
          <a:p>
            <a:pPr>
              <a:defRPr/>
            </a:pPr>
            <a:r>
              <a:rPr lang="en-US" sz="1200"/>
              <a:t>Owner occupied housing units</a:t>
            </a:r>
          </a:p>
        </c:rich>
      </c:tx>
      <c:layout/>
    </c:title>
    <c:plotArea>
      <c:layout/>
      <c:scatterChart>
        <c:scatterStyle val="lineMarker"/>
        <c:ser>
          <c:idx val="0"/>
          <c:order val="0"/>
          <c:tx>
            <c:strRef>
              <c:f>City!$Z$1</c:f>
              <c:strCache>
                <c:ptCount val="1"/>
                <c:pt idx="0">
                  <c:v>Violent Crime Rate per 100,000</c:v>
                </c:pt>
              </c:strCache>
            </c:strRef>
          </c:tx>
          <c:spPr>
            <a:ln w="28575">
              <a:noFill/>
            </a:ln>
          </c:spPr>
          <c:xVal>
            <c:numRef>
              <c:f>City!$S$2:$S$41</c:f>
              <c:numCache>
                <c:formatCode>0.0%</c:formatCode>
                <c:ptCount val="40"/>
                <c:pt idx="0">
                  <c:v>0.54500000000000004</c:v>
                </c:pt>
                <c:pt idx="1">
                  <c:v>0.42099999999999999</c:v>
                </c:pt>
                <c:pt idx="2">
                  <c:v>0.40899999999999997</c:v>
                </c:pt>
                <c:pt idx="3">
                  <c:v>0.60799999999999998</c:v>
                </c:pt>
                <c:pt idx="4">
                  <c:v>0.42899999999999999</c:v>
                </c:pt>
                <c:pt idx="5">
                  <c:v>0.54900000000000004</c:v>
                </c:pt>
                <c:pt idx="6">
                  <c:v>0.42599999999999999</c:v>
                </c:pt>
                <c:pt idx="7">
                  <c:v>0.48399999999999999</c:v>
                </c:pt>
                <c:pt idx="8">
                  <c:v>0.25700000000000001</c:v>
                </c:pt>
                <c:pt idx="9">
                  <c:v>0.60299999999999998</c:v>
                </c:pt>
                <c:pt idx="10">
                  <c:v>0.46600000000000003</c:v>
                </c:pt>
                <c:pt idx="11">
                  <c:v>0.51700000000000002</c:v>
                </c:pt>
                <c:pt idx="12">
                  <c:v>0.40899999999999997</c:v>
                </c:pt>
                <c:pt idx="13">
                  <c:v>0.50900000000000001</c:v>
                </c:pt>
                <c:pt idx="14">
                  <c:v>0.52800000000000002</c:v>
                </c:pt>
                <c:pt idx="15">
                  <c:v>0.40899999999999997</c:v>
                </c:pt>
                <c:pt idx="16">
                  <c:v>0.502</c:v>
                </c:pt>
                <c:pt idx="17">
                  <c:v>0.51200000000000001</c:v>
                </c:pt>
                <c:pt idx="18">
                  <c:v>0.64100000000000001</c:v>
                </c:pt>
                <c:pt idx="19">
                  <c:v>0.58699999999999997</c:v>
                </c:pt>
                <c:pt idx="20">
                  <c:v>0.61699999999999999</c:v>
                </c:pt>
                <c:pt idx="21">
                  <c:v>0.46700000000000003</c:v>
                </c:pt>
                <c:pt idx="22">
                  <c:v>0.59799999999999998</c:v>
                </c:pt>
                <c:pt idx="23">
                  <c:v>0.61699999999999999</c:v>
                </c:pt>
                <c:pt idx="24">
                  <c:v>0.49199999999999999</c:v>
                </c:pt>
                <c:pt idx="25">
                  <c:v>0.504</c:v>
                </c:pt>
                <c:pt idx="26">
                  <c:v>0.50600000000000001</c:v>
                </c:pt>
                <c:pt idx="27">
                  <c:v>0.50900000000000001</c:v>
                </c:pt>
                <c:pt idx="28">
                  <c:v>0.59699999999999998</c:v>
                </c:pt>
                <c:pt idx="29">
                  <c:v>0.58899999999999997</c:v>
                </c:pt>
                <c:pt idx="30">
                  <c:v>0.57699999999999996</c:v>
                </c:pt>
                <c:pt idx="31">
                  <c:v>0.6</c:v>
                </c:pt>
                <c:pt idx="32">
                  <c:v>0.48599999999999999</c:v>
                </c:pt>
                <c:pt idx="33">
                  <c:v>0.54500000000000004</c:v>
                </c:pt>
                <c:pt idx="34">
                  <c:v>0.55700000000000005</c:v>
                </c:pt>
                <c:pt idx="35">
                  <c:v>0.46899999999999997</c:v>
                </c:pt>
                <c:pt idx="36">
                  <c:v>0.625</c:v>
                </c:pt>
                <c:pt idx="37">
                  <c:v>0.61399999999999999</c:v>
                </c:pt>
                <c:pt idx="38">
                  <c:v>0.50600000000000001</c:v>
                </c:pt>
                <c:pt idx="39">
                  <c:v>0.68</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22698368"/>
        <c:axId val="122708352"/>
      </c:scatterChart>
      <c:valAx>
        <c:axId val="122698368"/>
        <c:scaling>
          <c:orientation val="minMax"/>
        </c:scaling>
        <c:axPos val="b"/>
        <c:numFmt formatCode="0.0%" sourceLinked="1"/>
        <c:tickLblPos val="nextTo"/>
        <c:crossAx val="122708352"/>
        <c:crosses val="autoZero"/>
        <c:crossBetween val="midCat"/>
      </c:valAx>
      <c:valAx>
        <c:axId val="122708352"/>
        <c:scaling>
          <c:orientation val="minMax"/>
        </c:scaling>
        <c:axPos val="l"/>
        <c:majorGridlines/>
        <c:numFmt formatCode="0.0" sourceLinked="1"/>
        <c:tickLblPos val="nextTo"/>
        <c:crossAx val="122698368"/>
        <c:crosses val="autoZero"/>
        <c:crossBetween val="midCat"/>
      </c:valAx>
    </c:plotArea>
    <c:plotVisOnly val="1"/>
  </c:chart>
  <c:externalData r:id="rId1"/>
</c:chartSpace>
</file>

<file path=word/charts/chart9.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a:t>Violent Crime Rate per 100,000</a:t>
            </a:r>
          </a:p>
          <a:p>
            <a:pPr>
              <a:defRPr/>
            </a:pPr>
            <a:r>
              <a:rPr lang="en-US" sz="1000"/>
              <a:t>vs</a:t>
            </a:r>
          </a:p>
          <a:p>
            <a:pPr>
              <a:defRPr/>
            </a:pPr>
            <a:r>
              <a:rPr lang="en-US" sz="1000"/>
              <a:t>Median Age</a:t>
            </a:r>
          </a:p>
        </c:rich>
      </c:tx>
      <c:layout/>
    </c:title>
    <c:plotArea>
      <c:layout/>
      <c:scatterChart>
        <c:scatterStyle val="lineMarker"/>
        <c:ser>
          <c:idx val="0"/>
          <c:order val="0"/>
          <c:tx>
            <c:strRef>
              <c:f>City!$Z$1</c:f>
              <c:strCache>
                <c:ptCount val="1"/>
                <c:pt idx="0">
                  <c:v>Violent Crime Rate per 100,000</c:v>
                </c:pt>
              </c:strCache>
            </c:strRef>
          </c:tx>
          <c:spPr>
            <a:ln w="28575">
              <a:noFill/>
            </a:ln>
          </c:spPr>
          <c:xVal>
            <c:numRef>
              <c:f>City!$T$2:$T$41</c:f>
              <c:numCache>
                <c:formatCode>0.0</c:formatCode>
                <c:ptCount val="40"/>
                <c:pt idx="0">
                  <c:v>33.799999999999997</c:v>
                </c:pt>
                <c:pt idx="1">
                  <c:v>33.299999999999997</c:v>
                </c:pt>
                <c:pt idx="2">
                  <c:v>37.1</c:v>
                </c:pt>
                <c:pt idx="3">
                  <c:v>36.200000000000003</c:v>
                </c:pt>
                <c:pt idx="4">
                  <c:v>34.200000000000003</c:v>
                </c:pt>
                <c:pt idx="5">
                  <c:v>35.799999999999997</c:v>
                </c:pt>
                <c:pt idx="6">
                  <c:v>35.700000000000003</c:v>
                </c:pt>
                <c:pt idx="7">
                  <c:v>32.1</c:v>
                </c:pt>
                <c:pt idx="8">
                  <c:v>30.1</c:v>
                </c:pt>
                <c:pt idx="9">
                  <c:v>35.5</c:v>
                </c:pt>
                <c:pt idx="10">
                  <c:v>33.200000000000003</c:v>
                </c:pt>
                <c:pt idx="11">
                  <c:v>30.3</c:v>
                </c:pt>
                <c:pt idx="12">
                  <c:v>31</c:v>
                </c:pt>
                <c:pt idx="13">
                  <c:v>34.4</c:v>
                </c:pt>
                <c:pt idx="14">
                  <c:v>36.700000000000003</c:v>
                </c:pt>
                <c:pt idx="15">
                  <c:v>32</c:v>
                </c:pt>
                <c:pt idx="16">
                  <c:v>31</c:v>
                </c:pt>
                <c:pt idx="17">
                  <c:v>33.200000000000003</c:v>
                </c:pt>
                <c:pt idx="18">
                  <c:v>36</c:v>
                </c:pt>
                <c:pt idx="19">
                  <c:v>35.5</c:v>
                </c:pt>
                <c:pt idx="20">
                  <c:v>35</c:v>
                </c:pt>
                <c:pt idx="21">
                  <c:v>34.4</c:v>
                </c:pt>
                <c:pt idx="22">
                  <c:v>34.6</c:v>
                </c:pt>
                <c:pt idx="23">
                  <c:v>35.4</c:v>
                </c:pt>
                <c:pt idx="24">
                  <c:v>35.5</c:v>
                </c:pt>
                <c:pt idx="25">
                  <c:v>31.6</c:v>
                </c:pt>
                <c:pt idx="26">
                  <c:v>32.299999999999997</c:v>
                </c:pt>
                <c:pt idx="27">
                  <c:v>32.799999999999997</c:v>
                </c:pt>
                <c:pt idx="28">
                  <c:v>32.6</c:v>
                </c:pt>
                <c:pt idx="29">
                  <c:v>29.1</c:v>
                </c:pt>
                <c:pt idx="30">
                  <c:v>37.5</c:v>
                </c:pt>
                <c:pt idx="31">
                  <c:v>34.6</c:v>
                </c:pt>
                <c:pt idx="32">
                  <c:v>28.8</c:v>
                </c:pt>
                <c:pt idx="33">
                  <c:v>32.200000000000003</c:v>
                </c:pt>
                <c:pt idx="34">
                  <c:v>35.299999999999997</c:v>
                </c:pt>
                <c:pt idx="35">
                  <c:v>31.4</c:v>
                </c:pt>
                <c:pt idx="36">
                  <c:v>32.299999999999997</c:v>
                </c:pt>
                <c:pt idx="37">
                  <c:v>35.6</c:v>
                </c:pt>
                <c:pt idx="38">
                  <c:v>42.9</c:v>
                </c:pt>
                <c:pt idx="39">
                  <c:v>35.700000000000003</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22719616"/>
        <c:axId val="122729600"/>
      </c:scatterChart>
      <c:valAx>
        <c:axId val="122719616"/>
        <c:scaling>
          <c:orientation val="minMax"/>
        </c:scaling>
        <c:axPos val="b"/>
        <c:numFmt formatCode="0.0" sourceLinked="1"/>
        <c:tickLblPos val="nextTo"/>
        <c:crossAx val="122729600"/>
        <c:crosses val="autoZero"/>
        <c:crossBetween val="midCat"/>
      </c:valAx>
      <c:valAx>
        <c:axId val="122729600"/>
        <c:scaling>
          <c:orientation val="minMax"/>
        </c:scaling>
        <c:axPos val="l"/>
        <c:majorGridlines/>
        <c:numFmt formatCode="0.0" sourceLinked="1"/>
        <c:tickLblPos val="nextTo"/>
        <c:crossAx val="122719616"/>
        <c:crosses val="autoZero"/>
        <c:crossBetween val="midCat"/>
      </c:valAx>
    </c:plotArea>
    <c:plotVisOnly val="1"/>
  </c:chart>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a:t>Violent Crime Rate per 100,000</a:t>
            </a:r>
          </a:p>
          <a:p>
            <a:pPr>
              <a:defRPr/>
            </a:pPr>
            <a:r>
              <a:rPr lang="en-US" sz="1000"/>
              <a:t>vs</a:t>
            </a:r>
          </a:p>
          <a:p>
            <a:pPr>
              <a:defRPr/>
            </a:pPr>
            <a:r>
              <a:rPr lang="en-US" sz="1000"/>
              <a:t>Percent White</a:t>
            </a:r>
          </a:p>
        </c:rich>
      </c:tx>
      <c:layout>
        <c:manualLayout>
          <c:xMode val="edge"/>
          <c:yMode val="edge"/>
          <c:x val="0.30333333333333334"/>
          <c:y val="5.5555555555555455E-2"/>
        </c:manualLayout>
      </c:layout>
    </c:title>
    <c:plotArea>
      <c:layout/>
      <c:scatterChart>
        <c:scatterStyle val="lineMarker"/>
        <c:ser>
          <c:idx val="0"/>
          <c:order val="0"/>
          <c:tx>
            <c:strRef>
              <c:f>City!$Z$1</c:f>
              <c:strCache>
                <c:ptCount val="1"/>
                <c:pt idx="0">
                  <c:v>Violent Crime Rate per 100,000</c:v>
                </c:pt>
              </c:strCache>
            </c:strRef>
          </c:tx>
          <c:spPr>
            <a:ln w="28575">
              <a:noFill/>
            </a:ln>
          </c:spPr>
          <c:xVal>
            <c:numRef>
              <c:f>City!$U$2:$U$41</c:f>
              <c:numCache>
                <c:formatCode>0.0%</c:formatCode>
                <c:ptCount val="40"/>
                <c:pt idx="0">
                  <c:v>0.317</c:v>
                </c:pt>
                <c:pt idx="1">
                  <c:v>0.57799999999999996</c:v>
                </c:pt>
                <c:pt idx="2">
                  <c:v>0.23</c:v>
                </c:pt>
                <c:pt idx="3">
                  <c:v>0.64900000000000002</c:v>
                </c:pt>
                <c:pt idx="4">
                  <c:v>0.52200000000000002</c:v>
                </c:pt>
                <c:pt idx="5">
                  <c:v>0.68500000000000005</c:v>
                </c:pt>
                <c:pt idx="6">
                  <c:v>0.51</c:v>
                </c:pt>
                <c:pt idx="7">
                  <c:v>0.46800000000000003</c:v>
                </c:pt>
                <c:pt idx="8">
                  <c:v>0.30199999999999999</c:v>
                </c:pt>
                <c:pt idx="9">
                  <c:v>0.66600000000000004</c:v>
                </c:pt>
                <c:pt idx="10">
                  <c:v>0.49399999999999999</c:v>
                </c:pt>
                <c:pt idx="11">
                  <c:v>0.40799999999999997</c:v>
                </c:pt>
                <c:pt idx="12">
                  <c:v>0.59399999999999997</c:v>
                </c:pt>
                <c:pt idx="13">
                  <c:v>0.53700000000000003</c:v>
                </c:pt>
                <c:pt idx="14">
                  <c:v>0.67</c:v>
                </c:pt>
                <c:pt idx="15">
                  <c:v>0.66700000000000004</c:v>
                </c:pt>
                <c:pt idx="16">
                  <c:v>0.34399999999999997</c:v>
                </c:pt>
                <c:pt idx="17">
                  <c:v>0.51100000000000001</c:v>
                </c:pt>
                <c:pt idx="18">
                  <c:v>0.623</c:v>
                </c:pt>
                <c:pt idx="19">
                  <c:v>0.70799999999999996</c:v>
                </c:pt>
                <c:pt idx="20">
                  <c:v>0.67700000000000005</c:v>
                </c:pt>
                <c:pt idx="21">
                  <c:v>0.78500000000000003</c:v>
                </c:pt>
                <c:pt idx="22">
                  <c:v>0.55500000000000005</c:v>
                </c:pt>
                <c:pt idx="23">
                  <c:v>0.67500000000000004</c:v>
                </c:pt>
                <c:pt idx="24">
                  <c:v>0.42399999999999999</c:v>
                </c:pt>
                <c:pt idx="25">
                  <c:v>0.80700000000000005</c:v>
                </c:pt>
                <c:pt idx="26">
                  <c:v>0.65400000000000003</c:v>
                </c:pt>
                <c:pt idx="27">
                  <c:v>0.63200000000000001</c:v>
                </c:pt>
                <c:pt idx="28">
                  <c:v>0.68899999999999995</c:v>
                </c:pt>
                <c:pt idx="29">
                  <c:v>0.57399999999999995</c:v>
                </c:pt>
                <c:pt idx="30">
                  <c:v>0.78600000000000003</c:v>
                </c:pt>
                <c:pt idx="31">
                  <c:v>0.76700000000000002</c:v>
                </c:pt>
                <c:pt idx="32">
                  <c:v>0.53300000000000003</c:v>
                </c:pt>
                <c:pt idx="33">
                  <c:v>0.60199999999999998</c:v>
                </c:pt>
                <c:pt idx="34">
                  <c:v>0.74099999999999999</c:v>
                </c:pt>
                <c:pt idx="35">
                  <c:v>0.63700000000000001</c:v>
                </c:pt>
                <c:pt idx="36">
                  <c:v>0.77800000000000002</c:v>
                </c:pt>
                <c:pt idx="37">
                  <c:v>0.48599999999999999</c:v>
                </c:pt>
                <c:pt idx="38">
                  <c:v>0.214</c:v>
                </c:pt>
                <c:pt idx="39">
                  <c:v>0.70099999999999996</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22741120"/>
        <c:axId val="122742656"/>
      </c:scatterChart>
      <c:valAx>
        <c:axId val="122741120"/>
        <c:scaling>
          <c:orientation val="minMax"/>
        </c:scaling>
        <c:axPos val="b"/>
        <c:numFmt formatCode="0.0%" sourceLinked="1"/>
        <c:tickLblPos val="nextTo"/>
        <c:crossAx val="122742656"/>
        <c:crosses val="autoZero"/>
        <c:crossBetween val="midCat"/>
      </c:valAx>
      <c:valAx>
        <c:axId val="122742656"/>
        <c:scaling>
          <c:orientation val="minMax"/>
        </c:scaling>
        <c:axPos val="l"/>
        <c:majorGridlines/>
        <c:numFmt formatCode="0.0" sourceLinked="1"/>
        <c:tickLblPos val="nextTo"/>
        <c:crossAx val="122741120"/>
        <c:crosses val="autoZero"/>
        <c:crossBetween val="midCat"/>
      </c:valAx>
    </c:plotArea>
    <c:plotVisOnly val="1"/>
  </c:chart>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a:t>Violent Crime Rate per 100,000</a:t>
            </a:r>
          </a:p>
          <a:p>
            <a:pPr>
              <a:defRPr/>
            </a:pPr>
            <a:r>
              <a:rPr lang="en-US" sz="1000"/>
              <a:t>vs</a:t>
            </a:r>
          </a:p>
          <a:p>
            <a:pPr>
              <a:defRPr/>
            </a:pPr>
            <a:r>
              <a:rPr lang="en-US" sz="1000"/>
              <a:t>Percent Black</a:t>
            </a:r>
          </a:p>
        </c:rich>
      </c:tx>
      <c:layout/>
    </c:title>
    <c:plotArea>
      <c:layout/>
      <c:scatterChart>
        <c:scatterStyle val="lineMarker"/>
        <c:ser>
          <c:idx val="0"/>
          <c:order val="0"/>
          <c:tx>
            <c:strRef>
              <c:f>City!$Z$1</c:f>
              <c:strCache>
                <c:ptCount val="1"/>
                <c:pt idx="0">
                  <c:v>Violent Crime Rate per 100,000</c:v>
                </c:pt>
              </c:strCache>
            </c:strRef>
          </c:tx>
          <c:spPr>
            <a:ln w="28575">
              <a:noFill/>
            </a:ln>
          </c:spPr>
          <c:xVal>
            <c:numRef>
              <c:f>City!$V$2:$V$41</c:f>
              <c:numCache>
                <c:formatCode>0.0%</c:formatCode>
                <c:ptCount val="40"/>
                <c:pt idx="0">
                  <c:v>0.626</c:v>
                </c:pt>
                <c:pt idx="1">
                  <c:v>0.27400000000000002</c:v>
                </c:pt>
                <c:pt idx="2">
                  <c:v>0.74099999999999999</c:v>
                </c:pt>
                <c:pt idx="3">
                  <c:v>0.27900000000000003</c:v>
                </c:pt>
                <c:pt idx="4">
                  <c:v>0.39100000000000001</c:v>
                </c:pt>
                <c:pt idx="5">
                  <c:v>0.159</c:v>
                </c:pt>
                <c:pt idx="6">
                  <c:v>0.44400000000000001</c:v>
                </c:pt>
                <c:pt idx="7">
                  <c:v>0.38300000000000001</c:v>
                </c:pt>
                <c:pt idx="8">
                  <c:v>0.372</c:v>
                </c:pt>
                <c:pt idx="9">
                  <c:v>0.25900000000000001</c:v>
                </c:pt>
                <c:pt idx="10">
                  <c:v>0.34100000000000003</c:v>
                </c:pt>
                <c:pt idx="11">
                  <c:v>0.54200000000000004</c:v>
                </c:pt>
                <c:pt idx="12">
                  <c:v>0.28699999999999998</c:v>
                </c:pt>
                <c:pt idx="13">
                  <c:v>0.42699999999999999</c:v>
                </c:pt>
                <c:pt idx="14">
                  <c:v>0.26500000000000001</c:v>
                </c:pt>
                <c:pt idx="15">
                  <c:v>0.20300000000000001</c:v>
                </c:pt>
                <c:pt idx="16">
                  <c:v>0.60499999999999998</c:v>
                </c:pt>
                <c:pt idx="17">
                  <c:v>0.14000000000000001</c:v>
                </c:pt>
                <c:pt idx="18">
                  <c:v>0.30099999999999999</c:v>
                </c:pt>
                <c:pt idx="19">
                  <c:v>0.10299999999999999</c:v>
                </c:pt>
                <c:pt idx="20">
                  <c:v>0.14099999999999999</c:v>
                </c:pt>
                <c:pt idx="21">
                  <c:v>0.09</c:v>
                </c:pt>
                <c:pt idx="22">
                  <c:v>0.33500000000000002</c:v>
                </c:pt>
                <c:pt idx="23">
                  <c:v>3.5000000000000003E-2</c:v>
                </c:pt>
                <c:pt idx="24">
                  <c:v>0.51500000000000001</c:v>
                </c:pt>
                <c:pt idx="25">
                  <c:v>3.5999999999999997E-2</c:v>
                </c:pt>
                <c:pt idx="26">
                  <c:v>0.26400000000000001</c:v>
                </c:pt>
                <c:pt idx="27">
                  <c:v>0.11</c:v>
                </c:pt>
                <c:pt idx="28">
                  <c:v>6.6000000000000003E-2</c:v>
                </c:pt>
                <c:pt idx="29">
                  <c:v>8.4000000000000005E-2</c:v>
                </c:pt>
                <c:pt idx="30">
                  <c:v>6.4000000000000001E-2</c:v>
                </c:pt>
                <c:pt idx="31">
                  <c:v>0.128</c:v>
                </c:pt>
                <c:pt idx="32">
                  <c:v>0.08</c:v>
                </c:pt>
                <c:pt idx="33">
                  <c:v>0.248</c:v>
                </c:pt>
                <c:pt idx="34">
                  <c:v>9.6000000000000002E-2</c:v>
                </c:pt>
                <c:pt idx="35">
                  <c:v>8.2000000000000003E-2</c:v>
                </c:pt>
                <c:pt idx="36">
                  <c:v>3.1E-2</c:v>
                </c:pt>
                <c:pt idx="37">
                  <c:v>0.03</c:v>
                </c:pt>
                <c:pt idx="38">
                  <c:v>1.9E-2</c:v>
                </c:pt>
                <c:pt idx="39">
                  <c:v>0.19400000000000001</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22983552"/>
        <c:axId val="122985088"/>
      </c:scatterChart>
      <c:valAx>
        <c:axId val="122983552"/>
        <c:scaling>
          <c:orientation val="minMax"/>
        </c:scaling>
        <c:axPos val="b"/>
        <c:numFmt formatCode="0.0%" sourceLinked="1"/>
        <c:tickLblPos val="nextTo"/>
        <c:crossAx val="122985088"/>
        <c:crosses val="autoZero"/>
        <c:crossBetween val="midCat"/>
      </c:valAx>
      <c:valAx>
        <c:axId val="122985088"/>
        <c:scaling>
          <c:orientation val="minMax"/>
        </c:scaling>
        <c:axPos val="l"/>
        <c:majorGridlines/>
        <c:numFmt formatCode="0.0" sourceLinked="1"/>
        <c:tickLblPos val="nextTo"/>
        <c:crossAx val="122983552"/>
        <c:crosses val="autoZero"/>
        <c:crossBetween val="midCat"/>
      </c:valAx>
    </c:plotArea>
    <c:plotVisOnly val="1"/>
  </c:chart>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000"/>
              <a:t>Violent Crime Rate per 100,000</a:t>
            </a:r>
          </a:p>
          <a:p>
            <a:pPr>
              <a:defRPr/>
            </a:pPr>
            <a:r>
              <a:rPr lang="en-US" sz="1000"/>
              <a:t>vs</a:t>
            </a:r>
          </a:p>
          <a:p>
            <a:pPr>
              <a:defRPr/>
            </a:pPr>
            <a:r>
              <a:rPr lang="en-US" sz="1000"/>
              <a:t>Percent Hispanic or latino of any race</a:t>
            </a:r>
          </a:p>
        </c:rich>
      </c:tx>
      <c:layout>
        <c:manualLayout>
          <c:xMode val="edge"/>
          <c:yMode val="edge"/>
          <c:x val="8.9565217391304353E-2"/>
          <c:y val="4.4444444444444446E-2"/>
        </c:manualLayout>
      </c:layout>
    </c:title>
    <c:plotArea>
      <c:layout/>
      <c:scatterChart>
        <c:scatterStyle val="lineMarker"/>
        <c:ser>
          <c:idx val="0"/>
          <c:order val="0"/>
          <c:tx>
            <c:strRef>
              <c:f>City!$Z$1</c:f>
              <c:strCache>
                <c:ptCount val="1"/>
                <c:pt idx="0">
                  <c:v>Violent Crime Rate per 100,000</c:v>
                </c:pt>
              </c:strCache>
            </c:strRef>
          </c:tx>
          <c:spPr>
            <a:ln w="28575">
              <a:noFill/>
            </a:ln>
          </c:spPr>
          <c:xVal>
            <c:numRef>
              <c:f>City!$W$2:$W$41</c:f>
              <c:numCache>
                <c:formatCode>0.0%</c:formatCode>
                <c:ptCount val="40"/>
                <c:pt idx="0">
                  <c:v>0.05</c:v>
                </c:pt>
                <c:pt idx="1">
                  <c:v>0.222</c:v>
                </c:pt>
                <c:pt idx="2">
                  <c:v>2.8999999999999998E-2</c:v>
                </c:pt>
                <c:pt idx="3">
                  <c:v>7.8E-2</c:v>
                </c:pt>
                <c:pt idx="4">
                  <c:v>8.6999999999999994E-2</c:v>
                </c:pt>
                <c:pt idx="5">
                  <c:v>0.121</c:v>
                </c:pt>
                <c:pt idx="6">
                  <c:v>1.9E-2</c:v>
                </c:pt>
                <c:pt idx="7">
                  <c:v>0.157</c:v>
                </c:pt>
                <c:pt idx="8">
                  <c:v>0.41399999999999998</c:v>
                </c:pt>
                <c:pt idx="9">
                  <c:v>7.0000000000000007E-2</c:v>
                </c:pt>
                <c:pt idx="10">
                  <c:v>0.33299999999999996</c:v>
                </c:pt>
                <c:pt idx="11">
                  <c:v>2.3E-2</c:v>
                </c:pt>
                <c:pt idx="12">
                  <c:v>6.9000000000000006E-2</c:v>
                </c:pt>
                <c:pt idx="13">
                  <c:v>2.2000000000000002E-2</c:v>
                </c:pt>
                <c:pt idx="14">
                  <c:v>1.8000000000000002E-2</c:v>
                </c:pt>
                <c:pt idx="15">
                  <c:v>0.16200000000000001</c:v>
                </c:pt>
                <c:pt idx="16">
                  <c:v>4.4999999999999998E-2</c:v>
                </c:pt>
                <c:pt idx="17">
                  <c:v>0.24600000000000002</c:v>
                </c:pt>
                <c:pt idx="18">
                  <c:v>6.2E-2</c:v>
                </c:pt>
                <c:pt idx="19">
                  <c:v>0.3</c:v>
                </c:pt>
                <c:pt idx="20">
                  <c:v>0.14599999999999999</c:v>
                </c:pt>
                <c:pt idx="21">
                  <c:v>0.193</c:v>
                </c:pt>
                <c:pt idx="22">
                  <c:v>0.11199999999999999</c:v>
                </c:pt>
                <c:pt idx="23">
                  <c:v>0.44</c:v>
                </c:pt>
                <c:pt idx="24">
                  <c:v>4.5999999999999999E-2</c:v>
                </c:pt>
                <c:pt idx="25">
                  <c:v>0.21899999999999997</c:v>
                </c:pt>
                <c:pt idx="26">
                  <c:v>4.4999999999999998E-2</c:v>
                </c:pt>
                <c:pt idx="27">
                  <c:v>0.36200000000000004</c:v>
                </c:pt>
                <c:pt idx="28">
                  <c:v>0.61199999999999999</c:v>
                </c:pt>
                <c:pt idx="29">
                  <c:v>0.42200000000000004</c:v>
                </c:pt>
                <c:pt idx="30">
                  <c:v>8.8000000000000009E-2</c:v>
                </c:pt>
                <c:pt idx="31">
                  <c:v>0.114</c:v>
                </c:pt>
                <c:pt idx="32">
                  <c:v>0.44600000000000001</c:v>
                </c:pt>
                <c:pt idx="33">
                  <c:v>9.6999999999999989E-2</c:v>
                </c:pt>
                <c:pt idx="34">
                  <c:v>0.34100000000000003</c:v>
                </c:pt>
                <c:pt idx="35">
                  <c:v>0.35499999999999998</c:v>
                </c:pt>
                <c:pt idx="36">
                  <c:v>0.8</c:v>
                </c:pt>
                <c:pt idx="37">
                  <c:v>0.315</c:v>
                </c:pt>
                <c:pt idx="38">
                  <c:v>3.7999999999999999E-2</c:v>
                </c:pt>
                <c:pt idx="39">
                  <c:v>5.7999999999999996E-2</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23017088"/>
        <c:axId val="123018624"/>
      </c:scatterChart>
      <c:valAx>
        <c:axId val="123017088"/>
        <c:scaling>
          <c:orientation val="minMax"/>
        </c:scaling>
        <c:axPos val="b"/>
        <c:numFmt formatCode="0.0%" sourceLinked="1"/>
        <c:tickLblPos val="nextTo"/>
        <c:crossAx val="123018624"/>
        <c:crosses val="autoZero"/>
        <c:crossBetween val="midCat"/>
      </c:valAx>
      <c:valAx>
        <c:axId val="123018624"/>
        <c:scaling>
          <c:orientation val="minMax"/>
        </c:scaling>
        <c:axPos val="l"/>
        <c:majorGridlines/>
        <c:numFmt formatCode="0.0" sourceLinked="1"/>
        <c:tickLblPos val="nextTo"/>
        <c:crossAx val="123017088"/>
        <c:crosses val="autoZero"/>
        <c:crossBetween val="midCat"/>
      </c:valAx>
    </c:plotArea>
    <c:plotVisOnly val="1"/>
  </c:chart>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200"/>
              <a:t>Violent Crime Rate per 100,000</a:t>
            </a:r>
          </a:p>
          <a:p>
            <a:pPr>
              <a:defRPr/>
            </a:pPr>
            <a:r>
              <a:rPr lang="en-US" sz="1200"/>
              <a:t>vs</a:t>
            </a:r>
          </a:p>
          <a:p>
            <a:pPr>
              <a:defRPr/>
            </a:pPr>
            <a:r>
              <a:rPr lang="en-US" sz="1200"/>
              <a:t>Population of City</a:t>
            </a:r>
          </a:p>
        </c:rich>
      </c:tx>
      <c:layout/>
    </c:title>
    <c:plotArea>
      <c:layout/>
      <c:scatterChart>
        <c:scatterStyle val="lineMarker"/>
        <c:ser>
          <c:idx val="0"/>
          <c:order val="0"/>
          <c:tx>
            <c:strRef>
              <c:f>City!$Z$1</c:f>
              <c:strCache>
                <c:ptCount val="1"/>
                <c:pt idx="0">
                  <c:v>Violent Crime Rate per 100,000</c:v>
                </c:pt>
              </c:strCache>
            </c:strRef>
          </c:tx>
          <c:spPr>
            <a:ln w="28575">
              <a:noFill/>
            </a:ln>
          </c:spPr>
          <c:xVal>
            <c:numRef>
              <c:f>City!$X$2:$X$41</c:f>
              <c:numCache>
                <c:formatCode>#,##0</c:formatCode>
                <c:ptCount val="40"/>
                <c:pt idx="0">
                  <c:v>672046</c:v>
                </c:pt>
                <c:pt idx="1">
                  <c:v>229808</c:v>
                </c:pt>
                <c:pt idx="2">
                  <c:v>228314</c:v>
                </c:pt>
                <c:pt idx="3">
                  <c:v>602181</c:v>
                </c:pt>
                <c:pt idx="4">
                  <c:v>270289</c:v>
                </c:pt>
                <c:pt idx="5">
                  <c:v>382954</c:v>
                </c:pt>
                <c:pt idx="6">
                  <c:v>332608</c:v>
                </c:pt>
                <c:pt idx="7">
                  <c:v>602131</c:v>
                </c:pt>
                <c:pt idx="8">
                  <c:v>124610</c:v>
                </c:pt>
                <c:pt idx="9">
                  <c:v>808329</c:v>
                </c:pt>
                <c:pt idx="10">
                  <c:v>136327</c:v>
                </c:pt>
                <c:pt idx="11">
                  <c:v>226920</c:v>
                </c:pt>
                <c:pt idx="12">
                  <c:v>94152</c:v>
                </c:pt>
                <c:pt idx="13">
                  <c:v>154218</c:v>
                </c:pt>
                <c:pt idx="14">
                  <c:v>309757</c:v>
                </c:pt>
                <c:pt idx="15">
                  <c:v>193096</c:v>
                </c:pt>
                <c:pt idx="16">
                  <c:v>281440</c:v>
                </c:pt>
                <c:pt idx="17">
                  <c:v>467065</c:v>
                </c:pt>
                <c:pt idx="18">
                  <c:v>806080</c:v>
                </c:pt>
                <c:pt idx="19">
                  <c:v>1353175</c:v>
                </c:pt>
                <c:pt idx="20">
                  <c:v>552452</c:v>
                </c:pt>
                <c:pt idx="21">
                  <c:v>177151</c:v>
                </c:pt>
                <c:pt idx="22">
                  <c:v>758769</c:v>
                </c:pt>
                <c:pt idx="23">
                  <c:v>527464</c:v>
                </c:pt>
                <c:pt idx="24">
                  <c:v>199674</c:v>
                </c:pt>
                <c:pt idx="25">
                  <c:v>180514</c:v>
                </c:pt>
                <c:pt idx="26">
                  <c:v>751887</c:v>
                </c:pt>
                <c:pt idx="27">
                  <c:v>107335</c:v>
                </c:pt>
                <c:pt idx="28">
                  <c:v>1351244</c:v>
                </c:pt>
                <c:pt idx="29">
                  <c:v>326046</c:v>
                </c:pt>
                <c:pt idx="30">
                  <c:v>553023</c:v>
                </c:pt>
                <c:pt idx="31">
                  <c:v>437238</c:v>
                </c:pt>
                <c:pt idx="32">
                  <c:v>475723</c:v>
                </c:pt>
                <c:pt idx="33">
                  <c:v>388661</c:v>
                </c:pt>
                <c:pt idx="34">
                  <c:v>592881</c:v>
                </c:pt>
                <c:pt idx="35">
                  <c:v>753535</c:v>
                </c:pt>
                <c:pt idx="36">
                  <c:v>612374</c:v>
                </c:pt>
                <c:pt idx="37">
                  <c:v>945197</c:v>
                </c:pt>
                <c:pt idx="38">
                  <c:v>906349</c:v>
                </c:pt>
                <c:pt idx="39">
                  <c:v>434163</c:v>
                </c:pt>
              </c:numCache>
            </c:numRef>
          </c:xVal>
          <c:yVal>
            <c:numRef>
              <c:f>City!$Z$2:$Z$41</c:f>
              <c:numCache>
                <c:formatCode>0.0</c:formatCode>
                <c:ptCount val="40"/>
                <c:pt idx="0">
                  <c:v>1925.0170375242171</c:v>
                </c:pt>
                <c:pt idx="1">
                  <c:v>1666.1735013576549</c:v>
                </c:pt>
                <c:pt idx="2">
                  <c:v>1423.040199024151</c:v>
                </c:pt>
                <c:pt idx="3">
                  <c:v>1395.5936836266837</c:v>
                </c:pt>
                <c:pt idx="4">
                  <c:v>1374.8247246465819</c:v>
                </c:pt>
                <c:pt idx="5">
                  <c:v>1285.2718603278722</c:v>
                </c:pt>
                <c:pt idx="6">
                  <c:v>1263.9503559746008</c:v>
                </c:pt>
                <c:pt idx="7">
                  <c:v>1218.8377612180739</c:v>
                </c:pt>
                <c:pt idx="8">
                  <c:v>1206.1632292753391</c:v>
                </c:pt>
                <c:pt idx="9">
                  <c:v>1204.3363531433365</c:v>
                </c:pt>
                <c:pt idx="10">
                  <c:v>1201.5228091280524</c:v>
                </c:pt>
                <c:pt idx="11">
                  <c:v>1185.4398025735941</c:v>
                </c:pt>
                <c:pt idx="12">
                  <c:v>1097.1620358569121</c:v>
                </c:pt>
                <c:pt idx="13">
                  <c:v>1084.1795380565175</c:v>
                </c:pt>
                <c:pt idx="14">
                  <c:v>1084.075581827045</c:v>
                </c:pt>
                <c:pt idx="15">
                  <c:v>1025.9145709905954</c:v>
                </c:pt>
                <c:pt idx="16">
                  <c:v>1019.4002274019329</c:v>
                </c:pt>
                <c:pt idx="17">
                  <c:v>997.71980345348072</c:v>
                </c:pt>
                <c:pt idx="18">
                  <c:v>996.42715363239381</c:v>
                </c:pt>
                <c:pt idx="19">
                  <c:v>984.64721857852828</c:v>
                </c:pt>
                <c:pt idx="20">
                  <c:v>977.46048525482763</c:v>
                </c:pt>
                <c:pt idx="21">
                  <c:v>969.79413043110117</c:v>
                </c:pt>
                <c:pt idx="22">
                  <c:v>931.77238395348252</c:v>
                </c:pt>
                <c:pt idx="23">
                  <c:v>894.4686272428072</c:v>
                </c:pt>
                <c:pt idx="24">
                  <c:v>795.29633302282718</c:v>
                </c:pt>
                <c:pt idx="25">
                  <c:v>786.64258727854894</c:v>
                </c:pt>
                <c:pt idx="26">
                  <c:v>774.18548265896334</c:v>
                </c:pt>
                <c:pt idx="27">
                  <c:v>749.98835421810224</c:v>
                </c:pt>
                <c:pt idx="28">
                  <c:v>717.78302068316304</c:v>
                </c:pt>
                <c:pt idx="29">
                  <c:v>637.02667721732519</c:v>
                </c:pt>
                <c:pt idx="30">
                  <c:v>622.93973306715998</c:v>
                </c:pt>
                <c:pt idx="31">
                  <c:v>605.61982261377102</c:v>
                </c:pt>
                <c:pt idx="32">
                  <c:v>584.79409236047024</c:v>
                </c:pt>
                <c:pt idx="33">
                  <c:v>577.62420206812624</c:v>
                </c:pt>
                <c:pt idx="34">
                  <c:v>566.89285033590215</c:v>
                </c:pt>
                <c:pt idx="35">
                  <c:v>522.20533883628491</c:v>
                </c:pt>
                <c:pt idx="36">
                  <c:v>461.31938978467406</c:v>
                </c:pt>
                <c:pt idx="37">
                  <c:v>385.4222982087332</c:v>
                </c:pt>
                <c:pt idx="38">
                  <c:v>284.1068948054226</c:v>
                </c:pt>
                <c:pt idx="39">
                  <c:v>240.23235512929475</c:v>
                </c:pt>
              </c:numCache>
            </c:numRef>
          </c:yVal>
        </c:ser>
        <c:axId val="123091584"/>
        <c:axId val="123105664"/>
      </c:scatterChart>
      <c:valAx>
        <c:axId val="123091584"/>
        <c:scaling>
          <c:orientation val="minMax"/>
        </c:scaling>
        <c:axPos val="b"/>
        <c:numFmt formatCode="#,##0" sourceLinked="1"/>
        <c:tickLblPos val="nextTo"/>
        <c:crossAx val="123105664"/>
        <c:crosses val="autoZero"/>
        <c:crossBetween val="midCat"/>
      </c:valAx>
      <c:valAx>
        <c:axId val="123105664"/>
        <c:scaling>
          <c:orientation val="minMax"/>
        </c:scaling>
        <c:axPos val="l"/>
        <c:majorGridlines/>
        <c:numFmt formatCode="0.0" sourceLinked="1"/>
        <c:tickLblPos val="nextTo"/>
        <c:crossAx val="123091584"/>
        <c:crosses val="autoZero"/>
        <c:crossBetween val="midCat"/>
      </c:valAx>
    </c:plotArea>
    <c:plotVisOnly val="1"/>
  </c:chart>
  <c:externalData r:id="rId1"/>
</c:chartSpace>
</file>

<file path=word/charts/chart14.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200" baseline="0"/>
              <a:t>Percent Black </a:t>
            </a:r>
            <a:r>
              <a:rPr lang="en-US" sz="1200" u="sng" baseline="0"/>
              <a:t>vs</a:t>
            </a:r>
            <a:r>
              <a:rPr lang="en-US" sz="1200" baseline="0"/>
              <a:t> </a:t>
            </a:r>
          </a:p>
          <a:p>
            <a:pPr>
              <a:defRPr/>
            </a:pPr>
            <a:r>
              <a:rPr lang="en-US" sz="1200" b="1" i="0" u="none" strike="noStrike" baseline="0"/>
              <a:t>Male, Now Married except separated</a:t>
            </a:r>
            <a:r>
              <a:rPr lang="en-US" sz="1200" baseline="0"/>
              <a:t> </a:t>
            </a:r>
          </a:p>
        </c:rich>
      </c:tx>
      <c:layout/>
    </c:title>
    <c:plotArea>
      <c:layout/>
      <c:scatterChart>
        <c:scatterStyle val="lineMarker"/>
        <c:ser>
          <c:idx val="0"/>
          <c:order val="0"/>
          <c:tx>
            <c:strRef>
              <c:f>City!$V$1</c:f>
              <c:strCache>
                <c:ptCount val="1"/>
                <c:pt idx="0">
                  <c:v>Percent Black</c:v>
                </c:pt>
              </c:strCache>
            </c:strRef>
          </c:tx>
          <c:spPr>
            <a:ln w="28575">
              <a:noFill/>
            </a:ln>
          </c:spPr>
          <c:xVal>
            <c:numRef>
              <c:f>City!$O$2:$O$41</c:f>
              <c:numCache>
                <c:formatCode>0.0%</c:formatCode>
                <c:ptCount val="40"/>
                <c:pt idx="0">
                  <c:v>0.35499999999999998</c:v>
                </c:pt>
                <c:pt idx="1">
                  <c:v>0.39700000000000002</c:v>
                </c:pt>
                <c:pt idx="2">
                  <c:v>0.33900000000000002</c:v>
                </c:pt>
                <c:pt idx="3">
                  <c:v>0.44800000000000001</c:v>
                </c:pt>
                <c:pt idx="4">
                  <c:v>0.32</c:v>
                </c:pt>
                <c:pt idx="5">
                  <c:v>0.47699999999999998</c:v>
                </c:pt>
                <c:pt idx="6">
                  <c:v>0.31</c:v>
                </c:pt>
                <c:pt idx="7">
                  <c:v>0.35499999999999998</c:v>
                </c:pt>
                <c:pt idx="8">
                  <c:v>0.28299999999999997</c:v>
                </c:pt>
                <c:pt idx="9">
                  <c:v>0.45900000000000002</c:v>
                </c:pt>
                <c:pt idx="10">
                  <c:v>0.40100000000000002</c:v>
                </c:pt>
                <c:pt idx="11">
                  <c:v>0.38</c:v>
                </c:pt>
                <c:pt idx="12">
                  <c:v>0.28599999999999998</c:v>
                </c:pt>
                <c:pt idx="13">
                  <c:v>0.33200000000000002</c:v>
                </c:pt>
                <c:pt idx="14">
                  <c:v>0.35199999999999998</c:v>
                </c:pt>
                <c:pt idx="15">
                  <c:v>0.42</c:v>
                </c:pt>
                <c:pt idx="16">
                  <c:v>0.28999999999999998</c:v>
                </c:pt>
                <c:pt idx="17">
                  <c:v>0.42599999999999999</c:v>
                </c:pt>
                <c:pt idx="18">
                  <c:v>0.499</c:v>
                </c:pt>
                <c:pt idx="19">
                  <c:v>0.50600000000000001</c:v>
                </c:pt>
                <c:pt idx="20">
                  <c:v>0.52200000000000002</c:v>
                </c:pt>
                <c:pt idx="21">
                  <c:v>0.38</c:v>
                </c:pt>
                <c:pt idx="22">
                  <c:v>0.502</c:v>
                </c:pt>
                <c:pt idx="23">
                  <c:v>0.47299999999999998</c:v>
                </c:pt>
                <c:pt idx="24">
                  <c:v>0.314</c:v>
                </c:pt>
                <c:pt idx="25">
                  <c:v>0.439</c:v>
                </c:pt>
                <c:pt idx="26">
                  <c:v>0.41099999999999998</c:v>
                </c:pt>
                <c:pt idx="27">
                  <c:v>0.41399999999999998</c:v>
                </c:pt>
                <c:pt idx="28">
                  <c:v>0.48399999999999999</c:v>
                </c:pt>
                <c:pt idx="29">
                  <c:v>0.50600000000000001</c:v>
                </c:pt>
                <c:pt idx="30">
                  <c:v>0.438</c:v>
                </c:pt>
                <c:pt idx="31">
                  <c:v>0.46600000000000003</c:v>
                </c:pt>
                <c:pt idx="32">
                  <c:v>0.44700000000000001</c:v>
                </c:pt>
                <c:pt idx="33">
                  <c:v>0.436</c:v>
                </c:pt>
                <c:pt idx="34">
                  <c:v>0.42299999999999999</c:v>
                </c:pt>
                <c:pt idx="35">
                  <c:v>0.43099999999999999</c:v>
                </c:pt>
                <c:pt idx="36">
                  <c:v>0.53200000000000003</c:v>
                </c:pt>
                <c:pt idx="37">
                  <c:v>0.53400000000000003</c:v>
                </c:pt>
                <c:pt idx="38">
                  <c:v>0.49399999999999999</c:v>
                </c:pt>
                <c:pt idx="39">
                  <c:v>0.54600000000000004</c:v>
                </c:pt>
              </c:numCache>
            </c:numRef>
          </c:xVal>
          <c:yVal>
            <c:numRef>
              <c:f>City!$V$2:$V$41</c:f>
              <c:numCache>
                <c:formatCode>0.0%</c:formatCode>
                <c:ptCount val="40"/>
                <c:pt idx="0">
                  <c:v>0.626</c:v>
                </c:pt>
                <c:pt idx="1">
                  <c:v>0.27400000000000002</c:v>
                </c:pt>
                <c:pt idx="2">
                  <c:v>0.74099999999999999</c:v>
                </c:pt>
                <c:pt idx="3">
                  <c:v>0.27900000000000003</c:v>
                </c:pt>
                <c:pt idx="4">
                  <c:v>0.39100000000000001</c:v>
                </c:pt>
                <c:pt idx="5">
                  <c:v>0.159</c:v>
                </c:pt>
                <c:pt idx="6">
                  <c:v>0.44400000000000001</c:v>
                </c:pt>
                <c:pt idx="7">
                  <c:v>0.38300000000000001</c:v>
                </c:pt>
                <c:pt idx="8">
                  <c:v>0.372</c:v>
                </c:pt>
                <c:pt idx="9">
                  <c:v>0.25900000000000001</c:v>
                </c:pt>
                <c:pt idx="10">
                  <c:v>0.34100000000000003</c:v>
                </c:pt>
                <c:pt idx="11">
                  <c:v>0.54200000000000004</c:v>
                </c:pt>
                <c:pt idx="12">
                  <c:v>0.28699999999999998</c:v>
                </c:pt>
                <c:pt idx="13">
                  <c:v>0.42699999999999999</c:v>
                </c:pt>
                <c:pt idx="14">
                  <c:v>0.26500000000000001</c:v>
                </c:pt>
                <c:pt idx="15">
                  <c:v>0.20300000000000001</c:v>
                </c:pt>
                <c:pt idx="16">
                  <c:v>0.60499999999999998</c:v>
                </c:pt>
                <c:pt idx="17">
                  <c:v>0.14000000000000001</c:v>
                </c:pt>
                <c:pt idx="18">
                  <c:v>0.30099999999999999</c:v>
                </c:pt>
                <c:pt idx="19">
                  <c:v>0.10299999999999999</c:v>
                </c:pt>
                <c:pt idx="20">
                  <c:v>0.14099999999999999</c:v>
                </c:pt>
                <c:pt idx="21">
                  <c:v>0.09</c:v>
                </c:pt>
                <c:pt idx="22">
                  <c:v>0.33500000000000002</c:v>
                </c:pt>
                <c:pt idx="23">
                  <c:v>3.5000000000000003E-2</c:v>
                </c:pt>
                <c:pt idx="24">
                  <c:v>0.51500000000000001</c:v>
                </c:pt>
                <c:pt idx="25">
                  <c:v>3.5999999999999997E-2</c:v>
                </c:pt>
                <c:pt idx="26">
                  <c:v>0.26400000000000001</c:v>
                </c:pt>
                <c:pt idx="27">
                  <c:v>0.11</c:v>
                </c:pt>
                <c:pt idx="28">
                  <c:v>6.6000000000000003E-2</c:v>
                </c:pt>
                <c:pt idx="29">
                  <c:v>8.4000000000000005E-2</c:v>
                </c:pt>
                <c:pt idx="30">
                  <c:v>6.4000000000000001E-2</c:v>
                </c:pt>
                <c:pt idx="31">
                  <c:v>0.128</c:v>
                </c:pt>
                <c:pt idx="32">
                  <c:v>0.08</c:v>
                </c:pt>
                <c:pt idx="33">
                  <c:v>0.248</c:v>
                </c:pt>
                <c:pt idx="34">
                  <c:v>9.6000000000000002E-2</c:v>
                </c:pt>
                <c:pt idx="35">
                  <c:v>8.2000000000000003E-2</c:v>
                </c:pt>
                <c:pt idx="36">
                  <c:v>3.1E-2</c:v>
                </c:pt>
                <c:pt idx="37">
                  <c:v>0.03</c:v>
                </c:pt>
                <c:pt idx="38">
                  <c:v>1.9E-2</c:v>
                </c:pt>
                <c:pt idx="39">
                  <c:v>0.19400000000000001</c:v>
                </c:pt>
              </c:numCache>
            </c:numRef>
          </c:yVal>
        </c:ser>
        <c:axId val="123112832"/>
        <c:axId val="123131008"/>
      </c:scatterChart>
      <c:valAx>
        <c:axId val="123112832"/>
        <c:scaling>
          <c:orientation val="minMax"/>
        </c:scaling>
        <c:axPos val="b"/>
        <c:numFmt formatCode="0.0%" sourceLinked="1"/>
        <c:tickLblPos val="nextTo"/>
        <c:crossAx val="123131008"/>
        <c:crosses val="autoZero"/>
        <c:crossBetween val="midCat"/>
      </c:valAx>
      <c:valAx>
        <c:axId val="123131008"/>
        <c:scaling>
          <c:orientation val="minMax"/>
        </c:scaling>
        <c:axPos val="l"/>
        <c:majorGridlines/>
        <c:numFmt formatCode="0.0%" sourceLinked="1"/>
        <c:tickLblPos val="nextTo"/>
        <c:crossAx val="123112832"/>
        <c:crosses val="autoZero"/>
        <c:crossBetween val="midCat"/>
      </c:valAx>
    </c:plotArea>
    <c:plotVisOnly val="1"/>
  </c:chart>
  <c:externalData r:id="rId1"/>
</c:chartSpace>
</file>

<file path=word/charts/chart15.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200" baseline="0"/>
              <a:t>Percent Hispanic or latino of any race </a:t>
            </a:r>
            <a:r>
              <a:rPr lang="en-US" sz="1200" u="sng" baseline="0"/>
              <a:t>vs</a:t>
            </a:r>
            <a:r>
              <a:rPr lang="en-US" sz="1200" baseline="0"/>
              <a:t> Poverty in City</a:t>
            </a:r>
          </a:p>
        </c:rich>
      </c:tx>
      <c:layout/>
    </c:title>
    <c:plotArea>
      <c:layout/>
      <c:scatterChart>
        <c:scatterStyle val="lineMarker"/>
        <c:ser>
          <c:idx val="0"/>
          <c:order val="0"/>
          <c:tx>
            <c:strRef>
              <c:f>City!$W$1</c:f>
              <c:strCache>
                <c:ptCount val="1"/>
                <c:pt idx="0">
                  <c:v>Percent Hispanic or latino of any race</c:v>
                </c:pt>
              </c:strCache>
            </c:strRef>
          </c:tx>
          <c:spPr>
            <a:ln w="28575">
              <a:noFill/>
            </a:ln>
          </c:spPr>
          <c:xVal>
            <c:numRef>
              <c:f>City!$R$2:$R$41</c:f>
              <c:numCache>
                <c:formatCode>0.0%</c:formatCode>
                <c:ptCount val="40"/>
                <c:pt idx="0">
                  <c:v>0.24099999999999999</c:v>
                </c:pt>
                <c:pt idx="1">
                  <c:v>0.16600000000000001</c:v>
                </c:pt>
                <c:pt idx="2">
                  <c:v>0.24199999999999999</c:v>
                </c:pt>
                <c:pt idx="3">
                  <c:v>0.16300000000000001</c:v>
                </c:pt>
                <c:pt idx="4">
                  <c:v>0.29899999999999999</c:v>
                </c:pt>
                <c:pt idx="5">
                  <c:v>0.192</c:v>
                </c:pt>
                <c:pt idx="6">
                  <c:v>0.25700000000000001</c:v>
                </c:pt>
                <c:pt idx="7">
                  <c:v>0.24399999999999999</c:v>
                </c:pt>
                <c:pt idx="8">
                  <c:v>0.32500000000000001</c:v>
                </c:pt>
                <c:pt idx="9">
                  <c:v>0.161</c:v>
                </c:pt>
                <c:pt idx="10">
                  <c:v>0.20300000000000001</c:v>
                </c:pt>
                <c:pt idx="11">
                  <c:v>0.25700000000000001</c:v>
                </c:pt>
                <c:pt idx="12">
                  <c:v>0.253</c:v>
                </c:pt>
                <c:pt idx="13">
                  <c:v>0.29799999999999999</c:v>
                </c:pt>
                <c:pt idx="14">
                  <c:v>0.216</c:v>
                </c:pt>
                <c:pt idx="15">
                  <c:v>0.23100000000000001</c:v>
                </c:pt>
                <c:pt idx="16">
                  <c:v>0.23799999999999999</c:v>
                </c:pt>
                <c:pt idx="17">
                  <c:v>0.153</c:v>
                </c:pt>
                <c:pt idx="18">
                  <c:v>0.128</c:v>
                </c:pt>
                <c:pt idx="19">
                  <c:v>0.11700000000000001</c:v>
                </c:pt>
                <c:pt idx="20">
                  <c:v>0.16500000000000001</c:v>
                </c:pt>
                <c:pt idx="21">
                  <c:v>0.17499999999999999</c:v>
                </c:pt>
                <c:pt idx="22">
                  <c:v>0.123</c:v>
                </c:pt>
                <c:pt idx="23">
                  <c:v>0.152</c:v>
                </c:pt>
                <c:pt idx="24">
                  <c:v>0.23</c:v>
                </c:pt>
                <c:pt idx="25">
                  <c:v>0.16800000000000001</c:v>
                </c:pt>
                <c:pt idx="26">
                  <c:v>0.20599999999999999</c:v>
                </c:pt>
                <c:pt idx="27">
                  <c:v>0.21099999999999999</c:v>
                </c:pt>
                <c:pt idx="28">
                  <c:v>0.185</c:v>
                </c:pt>
                <c:pt idx="29">
                  <c:v>0.16500000000000001</c:v>
                </c:pt>
                <c:pt idx="30">
                  <c:v>0.152</c:v>
                </c:pt>
                <c:pt idx="31">
                  <c:v>0.14699999999999999</c:v>
                </c:pt>
                <c:pt idx="32">
                  <c:v>0.23699999999999999</c:v>
                </c:pt>
                <c:pt idx="33">
                  <c:v>0.128</c:v>
                </c:pt>
                <c:pt idx="34">
                  <c:v>0.187</c:v>
                </c:pt>
                <c:pt idx="35">
                  <c:v>0.17599999999999999</c:v>
                </c:pt>
                <c:pt idx="36">
                  <c:v>0.25800000000000001</c:v>
                </c:pt>
                <c:pt idx="37">
                  <c:v>9.7000000000000003E-2</c:v>
                </c:pt>
                <c:pt idx="38">
                  <c:v>0.10199999999999999</c:v>
                </c:pt>
                <c:pt idx="39">
                  <c:v>6.8000000000000005E-2</c:v>
                </c:pt>
              </c:numCache>
            </c:numRef>
          </c:xVal>
          <c:yVal>
            <c:numRef>
              <c:f>City!$W$2:$W$41</c:f>
              <c:numCache>
                <c:formatCode>0.0%</c:formatCode>
                <c:ptCount val="40"/>
                <c:pt idx="0">
                  <c:v>0.05</c:v>
                </c:pt>
                <c:pt idx="1">
                  <c:v>0.222</c:v>
                </c:pt>
                <c:pt idx="2">
                  <c:v>2.8999999999999998E-2</c:v>
                </c:pt>
                <c:pt idx="3">
                  <c:v>7.8E-2</c:v>
                </c:pt>
                <c:pt idx="4">
                  <c:v>8.6999999999999994E-2</c:v>
                </c:pt>
                <c:pt idx="5">
                  <c:v>0.121</c:v>
                </c:pt>
                <c:pt idx="6">
                  <c:v>1.9E-2</c:v>
                </c:pt>
                <c:pt idx="7">
                  <c:v>0.157</c:v>
                </c:pt>
                <c:pt idx="8">
                  <c:v>0.41399999999999998</c:v>
                </c:pt>
                <c:pt idx="9">
                  <c:v>7.0000000000000007E-2</c:v>
                </c:pt>
                <c:pt idx="10">
                  <c:v>0.33299999999999996</c:v>
                </c:pt>
                <c:pt idx="11">
                  <c:v>2.3E-2</c:v>
                </c:pt>
                <c:pt idx="12">
                  <c:v>6.9000000000000006E-2</c:v>
                </c:pt>
                <c:pt idx="13">
                  <c:v>2.2000000000000002E-2</c:v>
                </c:pt>
                <c:pt idx="14">
                  <c:v>1.8000000000000002E-2</c:v>
                </c:pt>
                <c:pt idx="15">
                  <c:v>0.16200000000000001</c:v>
                </c:pt>
                <c:pt idx="16">
                  <c:v>4.4999999999999998E-2</c:v>
                </c:pt>
                <c:pt idx="17">
                  <c:v>0.24600000000000002</c:v>
                </c:pt>
                <c:pt idx="18">
                  <c:v>6.2E-2</c:v>
                </c:pt>
                <c:pt idx="19">
                  <c:v>0.3</c:v>
                </c:pt>
                <c:pt idx="20">
                  <c:v>0.14599999999999999</c:v>
                </c:pt>
                <c:pt idx="21">
                  <c:v>0.193</c:v>
                </c:pt>
                <c:pt idx="22">
                  <c:v>0.11199999999999999</c:v>
                </c:pt>
                <c:pt idx="23">
                  <c:v>0.44</c:v>
                </c:pt>
                <c:pt idx="24">
                  <c:v>4.5999999999999999E-2</c:v>
                </c:pt>
                <c:pt idx="25">
                  <c:v>0.21899999999999997</c:v>
                </c:pt>
                <c:pt idx="26">
                  <c:v>4.4999999999999998E-2</c:v>
                </c:pt>
                <c:pt idx="27">
                  <c:v>0.36200000000000004</c:v>
                </c:pt>
                <c:pt idx="28">
                  <c:v>0.61199999999999999</c:v>
                </c:pt>
                <c:pt idx="29">
                  <c:v>0.42200000000000004</c:v>
                </c:pt>
                <c:pt idx="30">
                  <c:v>8.8000000000000009E-2</c:v>
                </c:pt>
                <c:pt idx="31">
                  <c:v>0.114</c:v>
                </c:pt>
                <c:pt idx="32">
                  <c:v>0.44600000000000001</c:v>
                </c:pt>
                <c:pt idx="33">
                  <c:v>9.6999999999999989E-2</c:v>
                </c:pt>
                <c:pt idx="34">
                  <c:v>0.34100000000000003</c:v>
                </c:pt>
                <c:pt idx="35">
                  <c:v>0.35499999999999998</c:v>
                </c:pt>
                <c:pt idx="36">
                  <c:v>0.8</c:v>
                </c:pt>
                <c:pt idx="37">
                  <c:v>0.315</c:v>
                </c:pt>
                <c:pt idx="38">
                  <c:v>3.7999999999999999E-2</c:v>
                </c:pt>
                <c:pt idx="39">
                  <c:v>5.7999999999999996E-2</c:v>
                </c:pt>
              </c:numCache>
            </c:numRef>
          </c:yVal>
        </c:ser>
        <c:axId val="122905344"/>
        <c:axId val="122908032"/>
      </c:scatterChart>
      <c:valAx>
        <c:axId val="122905344"/>
        <c:scaling>
          <c:orientation val="minMax"/>
        </c:scaling>
        <c:axPos val="b"/>
        <c:numFmt formatCode="0.0%" sourceLinked="1"/>
        <c:tickLblPos val="nextTo"/>
        <c:crossAx val="122908032"/>
        <c:crosses val="autoZero"/>
        <c:crossBetween val="midCat"/>
      </c:valAx>
      <c:valAx>
        <c:axId val="122908032"/>
        <c:scaling>
          <c:orientation val="minMax"/>
        </c:scaling>
        <c:axPos val="l"/>
        <c:majorGridlines/>
        <c:numFmt formatCode="0.0%" sourceLinked="1"/>
        <c:tickLblPos val="nextTo"/>
        <c:crossAx val="122905344"/>
        <c:crosses val="autoZero"/>
        <c:crossBetween val="midCat"/>
      </c:valAx>
    </c:plotArea>
    <c:plotVisOnly val="1"/>
  </c:chart>
  <c:externalData r:id="rId1"/>
</c:chartSpace>
</file>

<file path=word/charts/chart16.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200" baseline="0"/>
              <a:t>Percent Black </a:t>
            </a:r>
            <a:r>
              <a:rPr lang="en-US" sz="1200" u="sng" baseline="0"/>
              <a:t>vs</a:t>
            </a:r>
            <a:r>
              <a:rPr lang="en-US" sz="1200" baseline="0"/>
              <a:t> Percent Poverty in City</a:t>
            </a:r>
          </a:p>
        </c:rich>
      </c:tx>
      <c:layout/>
    </c:title>
    <c:plotArea>
      <c:layout/>
      <c:scatterChart>
        <c:scatterStyle val="lineMarker"/>
        <c:ser>
          <c:idx val="0"/>
          <c:order val="0"/>
          <c:tx>
            <c:strRef>
              <c:f>City!$V$1</c:f>
              <c:strCache>
                <c:ptCount val="1"/>
                <c:pt idx="0">
                  <c:v>Percent Black</c:v>
                </c:pt>
              </c:strCache>
            </c:strRef>
          </c:tx>
          <c:spPr>
            <a:ln w="28575">
              <a:noFill/>
            </a:ln>
          </c:spPr>
          <c:xVal>
            <c:numRef>
              <c:f>City!$R$2:$R$41</c:f>
              <c:numCache>
                <c:formatCode>0.0%</c:formatCode>
                <c:ptCount val="40"/>
                <c:pt idx="0">
                  <c:v>0.24099999999999999</c:v>
                </c:pt>
                <c:pt idx="1">
                  <c:v>0.16600000000000001</c:v>
                </c:pt>
                <c:pt idx="2">
                  <c:v>0.24199999999999999</c:v>
                </c:pt>
                <c:pt idx="3">
                  <c:v>0.16300000000000001</c:v>
                </c:pt>
                <c:pt idx="4">
                  <c:v>0.29899999999999999</c:v>
                </c:pt>
                <c:pt idx="5">
                  <c:v>0.192</c:v>
                </c:pt>
                <c:pt idx="6">
                  <c:v>0.25700000000000001</c:v>
                </c:pt>
                <c:pt idx="7">
                  <c:v>0.24399999999999999</c:v>
                </c:pt>
                <c:pt idx="8">
                  <c:v>0.32500000000000001</c:v>
                </c:pt>
                <c:pt idx="9">
                  <c:v>0.161</c:v>
                </c:pt>
                <c:pt idx="10">
                  <c:v>0.20300000000000001</c:v>
                </c:pt>
                <c:pt idx="11">
                  <c:v>0.25700000000000001</c:v>
                </c:pt>
                <c:pt idx="12">
                  <c:v>0.253</c:v>
                </c:pt>
                <c:pt idx="13">
                  <c:v>0.29799999999999999</c:v>
                </c:pt>
                <c:pt idx="14">
                  <c:v>0.216</c:v>
                </c:pt>
                <c:pt idx="15">
                  <c:v>0.23100000000000001</c:v>
                </c:pt>
                <c:pt idx="16">
                  <c:v>0.23799999999999999</c:v>
                </c:pt>
                <c:pt idx="17">
                  <c:v>0.153</c:v>
                </c:pt>
                <c:pt idx="18">
                  <c:v>0.128</c:v>
                </c:pt>
                <c:pt idx="19">
                  <c:v>0.11700000000000001</c:v>
                </c:pt>
                <c:pt idx="20">
                  <c:v>0.16500000000000001</c:v>
                </c:pt>
                <c:pt idx="21">
                  <c:v>0.17499999999999999</c:v>
                </c:pt>
                <c:pt idx="22">
                  <c:v>0.123</c:v>
                </c:pt>
                <c:pt idx="23">
                  <c:v>0.152</c:v>
                </c:pt>
                <c:pt idx="24">
                  <c:v>0.23</c:v>
                </c:pt>
                <c:pt idx="25">
                  <c:v>0.16800000000000001</c:v>
                </c:pt>
                <c:pt idx="26">
                  <c:v>0.20599999999999999</c:v>
                </c:pt>
                <c:pt idx="27">
                  <c:v>0.21099999999999999</c:v>
                </c:pt>
                <c:pt idx="28">
                  <c:v>0.185</c:v>
                </c:pt>
                <c:pt idx="29">
                  <c:v>0.16500000000000001</c:v>
                </c:pt>
                <c:pt idx="30">
                  <c:v>0.152</c:v>
                </c:pt>
                <c:pt idx="31">
                  <c:v>0.14699999999999999</c:v>
                </c:pt>
                <c:pt idx="32">
                  <c:v>0.23699999999999999</c:v>
                </c:pt>
                <c:pt idx="33">
                  <c:v>0.128</c:v>
                </c:pt>
                <c:pt idx="34">
                  <c:v>0.187</c:v>
                </c:pt>
                <c:pt idx="35">
                  <c:v>0.17599999999999999</c:v>
                </c:pt>
                <c:pt idx="36">
                  <c:v>0.25800000000000001</c:v>
                </c:pt>
                <c:pt idx="37">
                  <c:v>9.7000000000000003E-2</c:v>
                </c:pt>
                <c:pt idx="38">
                  <c:v>0.10199999999999999</c:v>
                </c:pt>
                <c:pt idx="39">
                  <c:v>6.8000000000000005E-2</c:v>
                </c:pt>
              </c:numCache>
            </c:numRef>
          </c:xVal>
          <c:yVal>
            <c:numRef>
              <c:f>City!$V$2:$V$41</c:f>
              <c:numCache>
                <c:formatCode>0.0%</c:formatCode>
                <c:ptCount val="40"/>
                <c:pt idx="0">
                  <c:v>0.626</c:v>
                </c:pt>
                <c:pt idx="1">
                  <c:v>0.27400000000000002</c:v>
                </c:pt>
                <c:pt idx="2">
                  <c:v>0.74099999999999999</c:v>
                </c:pt>
                <c:pt idx="3">
                  <c:v>0.27900000000000003</c:v>
                </c:pt>
                <c:pt idx="4">
                  <c:v>0.39100000000000001</c:v>
                </c:pt>
                <c:pt idx="5">
                  <c:v>0.159</c:v>
                </c:pt>
                <c:pt idx="6">
                  <c:v>0.44400000000000001</c:v>
                </c:pt>
                <c:pt idx="7">
                  <c:v>0.38300000000000001</c:v>
                </c:pt>
                <c:pt idx="8">
                  <c:v>0.372</c:v>
                </c:pt>
                <c:pt idx="9">
                  <c:v>0.25900000000000001</c:v>
                </c:pt>
                <c:pt idx="10">
                  <c:v>0.34100000000000003</c:v>
                </c:pt>
                <c:pt idx="11">
                  <c:v>0.54200000000000004</c:v>
                </c:pt>
                <c:pt idx="12">
                  <c:v>0.28699999999999998</c:v>
                </c:pt>
                <c:pt idx="13">
                  <c:v>0.42699999999999999</c:v>
                </c:pt>
                <c:pt idx="14">
                  <c:v>0.26500000000000001</c:v>
                </c:pt>
                <c:pt idx="15">
                  <c:v>0.20300000000000001</c:v>
                </c:pt>
                <c:pt idx="16">
                  <c:v>0.60499999999999998</c:v>
                </c:pt>
                <c:pt idx="17">
                  <c:v>0.14000000000000001</c:v>
                </c:pt>
                <c:pt idx="18">
                  <c:v>0.30099999999999999</c:v>
                </c:pt>
                <c:pt idx="19">
                  <c:v>0.10299999999999999</c:v>
                </c:pt>
                <c:pt idx="20">
                  <c:v>0.14099999999999999</c:v>
                </c:pt>
                <c:pt idx="21">
                  <c:v>0.09</c:v>
                </c:pt>
                <c:pt idx="22">
                  <c:v>0.33500000000000002</c:v>
                </c:pt>
                <c:pt idx="23">
                  <c:v>3.5000000000000003E-2</c:v>
                </c:pt>
                <c:pt idx="24">
                  <c:v>0.51500000000000001</c:v>
                </c:pt>
                <c:pt idx="25">
                  <c:v>3.5999999999999997E-2</c:v>
                </c:pt>
                <c:pt idx="26">
                  <c:v>0.26400000000000001</c:v>
                </c:pt>
                <c:pt idx="27">
                  <c:v>0.11</c:v>
                </c:pt>
                <c:pt idx="28">
                  <c:v>6.6000000000000003E-2</c:v>
                </c:pt>
                <c:pt idx="29">
                  <c:v>8.4000000000000005E-2</c:v>
                </c:pt>
                <c:pt idx="30">
                  <c:v>6.4000000000000001E-2</c:v>
                </c:pt>
                <c:pt idx="31">
                  <c:v>0.128</c:v>
                </c:pt>
                <c:pt idx="32">
                  <c:v>0.08</c:v>
                </c:pt>
                <c:pt idx="33">
                  <c:v>0.248</c:v>
                </c:pt>
                <c:pt idx="34">
                  <c:v>9.6000000000000002E-2</c:v>
                </c:pt>
                <c:pt idx="35">
                  <c:v>8.2000000000000003E-2</c:v>
                </c:pt>
                <c:pt idx="36">
                  <c:v>3.1E-2</c:v>
                </c:pt>
                <c:pt idx="37">
                  <c:v>0.03</c:v>
                </c:pt>
                <c:pt idx="38">
                  <c:v>1.9E-2</c:v>
                </c:pt>
                <c:pt idx="39">
                  <c:v>0.19400000000000001</c:v>
                </c:pt>
              </c:numCache>
            </c:numRef>
          </c:yVal>
        </c:ser>
        <c:axId val="123208064"/>
        <c:axId val="123209600"/>
      </c:scatterChart>
      <c:valAx>
        <c:axId val="123208064"/>
        <c:scaling>
          <c:orientation val="minMax"/>
        </c:scaling>
        <c:axPos val="b"/>
        <c:numFmt formatCode="0.0%" sourceLinked="1"/>
        <c:tickLblPos val="nextTo"/>
        <c:crossAx val="123209600"/>
        <c:crosses val="autoZero"/>
        <c:crossBetween val="midCat"/>
      </c:valAx>
      <c:valAx>
        <c:axId val="123209600"/>
        <c:scaling>
          <c:orientation val="minMax"/>
        </c:scaling>
        <c:axPos val="l"/>
        <c:majorGridlines/>
        <c:numFmt formatCode="0.0%" sourceLinked="1"/>
        <c:tickLblPos val="nextTo"/>
        <c:crossAx val="123208064"/>
        <c:crosses val="autoZero"/>
        <c:crossBetween val="midCat"/>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A9B0E2823062486AB798EB0870235515"/>
        <w:category>
          <w:name w:val="General"/>
          <w:gallery w:val="placeholder"/>
        </w:category>
        <w:types>
          <w:type w:val="bbPlcHdr"/>
        </w:types>
        <w:behaviors>
          <w:behavior w:val="content"/>
        </w:behaviors>
        <w:guid w:val="{9B690C54-84C0-4DB6-A5A4-5BF4AC7B63D8}"/>
      </w:docPartPr>
      <w:docPartBody>
        <w:p w:rsidR="00000000" w:rsidRDefault="000663FF" w:rsidP="000663FF">
          <w:pPr>
            <w:pStyle w:val="A9B0E2823062486AB798EB0870235515"/>
          </w:pPr>
          <w:r>
            <w:rPr>
              <w:rFonts w:asciiTheme="majorHAnsi" w:eastAsiaTheme="majorEastAsia" w:hAnsiTheme="majorHAnsi" w:cstheme="majorBidi"/>
              <w:caps/>
            </w:rPr>
            <w:t>[Type the company name]</w:t>
          </w:r>
        </w:p>
      </w:docPartBody>
    </w:docPart>
    <w:docPart>
      <w:docPartPr>
        <w:name w:val="40C110F8825C45C085B453E581F82986"/>
        <w:category>
          <w:name w:val="General"/>
          <w:gallery w:val="placeholder"/>
        </w:category>
        <w:types>
          <w:type w:val="bbPlcHdr"/>
        </w:types>
        <w:behaviors>
          <w:behavior w:val="content"/>
        </w:behaviors>
        <w:guid w:val="{3DB0F6B3-E127-447C-9E27-551BDD26638F}"/>
      </w:docPartPr>
      <w:docPartBody>
        <w:p w:rsidR="00000000" w:rsidRDefault="000663FF" w:rsidP="000663FF">
          <w:pPr>
            <w:pStyle w:val="40C110F8825C45C085B453E581F82986"/>
          </w:pPr>
          <w:r>
            <w:rPr>
              <w:rFonts w:asciiTheme="majorHAnsi" w:eastAsiaTheme="majorEastAsia" w:hAnsiTheme="majorHAnsi" w:cstheme="majorBidi"/>
              <w:sz w:val="80"/>
              <w:szCs w:val="80"/>
            </w:rPr>
            <w:t>[Type the document title]</w:t>
          </w:r>
        </w:p>
      </w:docPartBody>
    </w:docPart>
    <w:docPart>
      <w:docPartPr>
        <w:name w:val="9A3A1A257438498C8D017AF6F27C1562"/>
        <w:category>
          <w:name w:val="General"/>
          <w:gallery w:val="placeholder"/>
        </w:category>
        <w:types>
          <w:type w:val="bbPlcHdr"/>
        </w:types>
        <w:behaviors>
          <w:behavior w:val="content"/>
        </w:behaviors>
        <w:guid w:val="{6A30B52A-1588-4A0E-B342-B0D82477B772}"/>
      </w:docPartPr>
      <w:docPartBody>
        <w:p w:rsidR="00000000" w:rsidRDefault="000663FF" w:rsidP="000663FF">
          <w:pPr>
            <w:pStyle w:val="9A3A1A257438498C8D017AF6F27C1562"/>
          </w:pPr>
          <w:r>
            <w:rPr>
              <w:rFonts w:asciiTheme="majorHAnsi" w:eastAsiaTheme="majorEastAsia" w:hAnsiTheme="majorHAnsi" w:cstheme="majorBidi"/>
              <w:sz w:val="44"/>
              <w:szCs w:val="44"/>
            </w:rPr>
            <w:t>[Type the document subtitle]</w:t>
          </w:r>
        </w:p>
      </w:docPartBody>
    </w:docPart>
    <w:docPart>
      <w:docPartPr>
        <w:name w:val="11F2BE9213E84A51867AD272788AE796"/>
        <w:category>
          <w:name w:val="General"/>
          <w:gallery w:val="placeholder"/>
        </w:category>
        <w:types>
          <w:type w:val="bbPlcHdr"/>
        </w:types>
        <w:behaviors>
          <w:behavior w:val="content"/>
        </w:behaviors>
        <w:guid w:val="{23803F8A-AAEB-410D-850C-311348DB4F63}"/>
      </w:docPartPr>
      <w:docPartBody>
        <w:p w:rsidR="00000000" w:rsidRDefault="000663FF" w:rsidP="000663FF">
          <w:pPr>
            <w:pStyle w:val="11F2BE9213E84A51867AD272788AE796"/>
          </w:pPr>
          <w:r>
            <w:rPr>
              <w:b/>
              <w:bCs/>
            </w:rPr>
            <w:t>[Type the author name]</w:t>
          </w:r>
        </w:p>
      </w:docPartBody>
    </w:docPart>
    <w:docPart>
      <w:docPartPr>
        <w:name w:val="D0D94CE4563542A48BEC23E155E91461"/>
        <w:category>
          <w:name w:val="General"/>
          <w:gallery w:val="placeholder"/>
        </w:category>
        <w:types>
          <w:type w:val="bbPlcHdr"/>
        </w:types>
        <w:behaviors>
          <w:behavior w:val="content"/>
        </w:behaviors>
        <w:guid w:val="{0622247A-063E-4814-B079-886DDA5469E7}"/>
      </w:docPartPr>
      <w:docPartBody>
        <w:p w:rsidR="00000000" w:rsidRDefault="000663FF" w:rsidP="000663FF">
          <w:pPr>
            <w:pStyle w:val="D0D94CE4563542A48BEC23E155E91461"/>
          </w:pPr>
          <w:r>
            <w:rPr>
              <w:b/>
              <w:bCs/>
            </w:rP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663FF"/>
    <w:rsid w:val="000663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B0E2823062486AB798EB0870235515">
    <w:name w:val="A9B0E2823062486AB798EB0870235515"/>
    <w:rsid w:val="000663FF"/>
  </w:style>
  <w:style w:type="paragraph" w:customStyle="1" w:styleId="40C110F8825C45C085B453E581F82986">
    <w:name w:val="40C110F8825C45C085B453E581F82986"/>
    <w:rsid w:val="000663FF"/>
  </w:style>
  <w:style w:type="paragraph" w:customStyle="1" w:styleId="9A3A1A257438498C8D017AF6F27C1562">
    <w:name w:val="9A3A1A257438498C8D017AF6F27C1562"/>
    <w:rsid w:val="000663FF"/>
  </w:style>
  <w:style w:type="paragraph" w:customStyle="1" w:styleId="11F2BE9213E84A51867AD272788AE796">
    <w:name w:val="11F2BE9213E84A51867AD272788AE796"/>
    <w:rsid w:val="000663FF"/>
  </w:style>
  <w:style w:type="paragraph" w:customStyle="1" w:styleId="D0D94CE4563542A48BEC23E155E91461">
    <w:name w:val="D0D94CE4563542A48BEC23E155E91461"/>
    <w:rsid w:val="000663FF"/>
  </w:style>
  <w:style w:type="paragraph" w:customStyle="1" w:styleId="7CBD1AD98DAF4FB0AF04BE308762FDBB">
    <w:name w:val="7CBD1AD98DAF4FB0AF04BE308762FDBB"/>
    <w:rsid w:val="000663F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2009-12-10T00:00:00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AAF1C7-780E-40D5-8F58-1E0B6BBF0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1557</TotalTime>
  <Pages>13</Pages>
  <Words>2303</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Factors Affecting Crime Rate In the United States</vt:lpstr>
    </vt:vector>
  </TitlesOfParts>
  <Company> </Company>
  <LinksUpToDate>false</LinksUpToDate>
  <CharactersWithSpaces>15406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Factors Affecting Crime Rate In the United States</dc:title>
  <dc:subject>Final Research Project</dc:subject>
  <dc:creator>Henry Reissig</dc:creator>
  <cp:keywords/>
  <dc:description/>
  <cp:lastModifiedBy>HP Authorized Customer</cp:lastModifiedBy>
  <cp:revision>38</cp:revision>
  <cp:lastPrinted>2009-12-10T18:55:00Z</cp:lastPrinted>
  <dcterms:created xsi:type="dcterms:W3CDTF">2009-12-09T02:44:00Z</dcterms:created>
  <dcterms:modified xsi:type="dcterms:W3CDTF">2009-12-10T18:59:00Z</dcterms:modified>
</cp:coreProperties>
</file>