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61902" w14:textId="77777777" w:rsidR="009F7B0E" w:rsidRPr="009F7B0E" w:rsidRDefault="009F7B0E" w:rsidP="00DE4DB7">
      <w:pPr>
        <w:spacing w:line="240" w:lineRule="auto"/>
        <w:ind w:left="-426"/>
        <w:jc w:val="center"/>
        <w:rPr>
          <w:rFonts w:ascii="Times New Roman" w:hAnsi="Times New Roman" w:cs="Times New Roman"/>
          <w:b/>
          <w:bCs/>
        </w:rPr>
      </w:pPr>
      <w:r w:rsidRPr="009F7B0E">
        <w:rPr>
          <w:rFonts w:ascii="Times New Roman" w:hAnsi="Times New Roman" w:cs="Times New Roman"/>
          <w:b/>
          <w:bCs/>
        </w:rPr>
        <w:t>INFORME GENERAL DE PATRULLAJES</w:t>
      </w:r>
    </w:p>
    <w:p w14:paraId="68271F8F" w14:textId="653BF1A5" w:rsidR="009F7B0E" w:rsidRPr="009F7B0E" w:rsidRDefault="00B60A3A" w:rsidP="00B60A3A">
      <w:pPr>
        <w:spacing w:line="240" w:lineRule="auto"/>
        <w:ind w:left="-426"/>
        <w:rPr>
          <w:rFonts w:ascii="Times New Roman" w:hAnsi="Times New Roman" w:cs="Times New Roman"/>
          <w:b/>
          <w:bCs/>
        </w:rPr>
      </w:pPr>
      <w:r w:rsidRPr="00B60A3A">
        <w:rPr>
          <w:rFonts w:ascii="Times New Roman" w:hAnsi="Times New Roman" w:cs="Times New Roman"/>
          <w:b/>
          <w:bCs/>
        </w:rPr>
        <w:t>Periodo reportado: {{FECHA_INICIO}} al {{FECHA_FIN}}</w:t>
      </w:r>
      <w:r w:rsidRPr="00B60A3A">
        <w:rPr>
          <w:rFonts w:ascii="Times New Roman" w:hAnsi="Times New Roman" w:cs="Times New Roman"/>
          <w:b/>
          <w:bCs/>
        </w:rPr>
        <w:br/>
        <w:t xml:space="preserve">Módulo: </w:t>
      </w:r>
      <w:r w:rsidRPr="00B60A3A">
        <w:rPr>
          <w:rFonts w:ascii="Times New Roman" w:hAnsi="Times New Roman" w:cs="Times New Roman"/>
        </w:rPr>
        <w:t>AC282 · Reforestaciones por compromiso</w:t>
      </w:r>
      <w:r w:rsidRPr="00B60A3A">
        <w:rPr>
          <w:rFonts w:ascii="Times New Roman" w:hAnsi="Times New Roman" w:cs="Times New Roman"/>
          <w:b/>
          <w:bCs/>
        </w:rPr>
        <w:br/>
        <w:t xml:space="preserve">Fuente de datos: </w:t>
      </w:r>
      <w:r w:rsidRPr="00B60A3A">
        <w:rPr>
          <w:rFonts w:ascii="Times New Roman" w:hAnsi="Times New Roman" w:cs="Times New Roman"/>
        </w:rPr>
        <w:t>registros consolidados del sistema de monitoreo de reforestaciones por compromiso</w:t>
      </w:r>
      <w:r w:rsidR="009F7B0E" w:rsidRPr="00B60A3A">
        <w:rPr>
          <w:rFonts w:ascii="Times New Roman" w:hAnsi="Times New Roman" w:cs="Times New Roman"/>
        </w:rPr>
        <w:t>1. Introducción</w:t>
      </w:r>
    </w:p>
    <w:p w14:paraId="6BC76051"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El presente informe consolida la información registrada en el módulo de reforestaciones por compromiso correspondiente al periodo comprendido entre el {{FECHA_INICIO}} y el {{FECHA_FIN}}. El documento presenta una revisión técnica, operativa y territorial de los registros de reforestación reportados, con el propósito de facilitar el seguimiento institucional, documentar el avance de las acciones de reposición forestal, identificar los municipios con mayor actividad registrada y evaluar la participación de los guardarecursos en el monitoreo de las áreas reforestadas.</w:t>
      </w:r>
    </w:p>
    <w:p w14:paraId="5AC6FBD6"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La información contenida en este informe se genera a partir de los registros disponibles en la base de datos del módulo AC282. Los resultados corresponden únicamente a los monitoreos cuya fecha de registro se encuentra dentro del intervalo definido por el usuario. Por lo tanto, los valores de monitoreos registrados, área reforestada, municipios cubiertos, especies reportadas, áreas protegidas atendidas, tipos de reforestación y participación de guardarecursos pueden variar según el periodo seleccionado.</w:t>
      </w:r>
    </w:p>
    <w:p w14:paraId="1EB816B0"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Las reforestaciones por compromiso constituyen una acción fundamental para el seguimiento de medidas de reposición, restauración y compensación asociadas al manejo de recursos forestales. Su monitoreo permite verificar la presencia territorial de las acciones de reforestación, observar la distribución de especies, documentar el avance operativo por guardarecurso y generar información útil para la toma de decisiones institucionales relacionadas con conservación, restauración ecológica y seguimiento de compromisos ambientales.</w:t>
      </w:r>
    </w:p>
    <w:p w14:paraId="07FC965B" w14:textId="77777777" w:rsidR="00B60A3A" w:rsidRPr="00B60A3A" w:rsidRDefault="00B60A3A" w:rsidP="00B60A3A">
      <w:pPr>
        <w:spacing w:line="240" w:lineRule="auto"/>
        <w:ind w:left="-426"/>
        <w:jc w:val="both"/>
        <w:rPr>
          <w:rFonts w:ascii="Times New Roman" w:hAnsi="Times New Roman" w:cs="Times New Roman"/>
          <w:b/>
          <w:bCs/>
        </w:rPr>
      </w:pPr>
      <w:r w:rsidRPr="00B60A3A">
        <w:rPr>
          <w:rFonts w:ascii="Times New Roman" w:hAnsi="Times New Roman" w:cs="Times New Roman"/>
        </w:rPr>
        <w:t>Este informe busca ofrecer una lectura consolidada del periodo seleccionado, integrando datos cuantitativos y descriptivos que permitan comprender el comportamiento general de los registros. La información presentada debe ser utilizada como insumo técnico para la planificación operativa, el seguimiento de compromisos, la priorización de visitas de verificación y el fortalecimiento de las estrategias de restauración y manejo sostenible en los territorios atendidos.</w:t>
      </w:r>
      <w:r>
        <w:rPr>
          <w:rFonts w:ascii="Times New Roman" w:hAnsi="Times New Roman" w:cs="Times New Roman"/>
        </w:rPr>
        <w:br/>
      </w:r>
      <w:r>
        <w:rPr>
          <w:rFonts w:ascii="Times New Roman" w:hAnsi="Times New Roman" w:cs="Times New Roman"/>
        </w:rPr>
        <w:br/>
      </w:r>
      <w:r w:rsidRPr="00B60A3A">
        <w:rPr>
          <w:rFonts w:ascii="Times New Roman" w:hAnsi="Times New Roman" w:cs="Times New Roman"/>
          <w:b/>
          <w:bCs/>
        </w:rPr>
        <w:t>2. Resumen ejecutivo del periodo</w:t>
      </w:r>
    </w:p>
    <w:p w14:paraId="0020C7EA"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Durante el periodo analizado se registraron {{TOTAL_MONITOREOS}} monitoreos de reforestaciones por compromiso, atendidos por {{TOTAL_GUARDARECURSOS}} guardarecursos activos. En conjunto, los registros cubrieron {{TOTAL_MUNICIPIOS}} municipios, {{TOTAL_AREAS_PROTEGIDAS}} áreas o zonas de intervención y reportaron un área total reforestada de {{TOTAL_AREA_REFORESTADA}}.</w:t>
      </w:r>
    </w:p>
    <w:p w14:paraId="04A2033D"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El promedio general de área registrada por monitoreo fue de {{PROMEDIO_AREA}}. Este indicador permite observar la escala media de las acciones reportadas y ayuda a diferenciar periodos con muchos monitoreos de baja extensión frente a periodos con menos registros, pero con áreas de reforestación más amplias o concentradas.</w:t>
      </w:r>
    </w:p>
    <w:p w14:paraId="5662DEDD"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Durante el periodo se reportaron {{TOTAL_ESPECIES}} especies distintas asociadas a los registros de reforestación. Las especies con mayor presencia en los monitoreos fueron {{TOP_ESPECIES}}. Esta información permite identificar tendencias en la selección de especies, patrones de restauración y posibles necesidades de seguimiento técnico en función del tipo de planta utilizada.</w:t>
      </w:r>
    </w:p>
    <w:p w14:paraId="2A0CAE7C"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lastRenderedPageBreak/>
        <w:t>Los tipos de reforestación más frecuentes fueron {{TOP_TIPOS_REFORESTACION}}. Este dato permite comprender la naturaleza de las acciones registradas, diferenciando procesos de reforestación asociados a compromisos, restauración, recuperación de áreas, seguimiento comunitario u otras categorías utilizadas en campo.</w:t>
      </w:r>
    </w:p>
    <w:p w14:paraId="438E8D0F"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En términos territoriales, los municipios con mayor cantidad de monitoreos fueron {{TOP_MUNICIPIOS_MONITOREOS}}, mientras que los municipios con mayor área reforestada acumulada fueron {{TOP_MUNICIPIOS_AREA}}. La comparación entre ambos indicadores permite distinguir los territorios con mayor frecuencia de registros de aquellos donde la extensión reforestada fue más significativa.</w:t>
      </w:r>
    </w:p>
    <w:p w14:paraId="4EC65343" w14:textId="4340C045" w:rsidR="00B60A3A" w:rsidRPr="00B60A3A" w:rsidRDefault="00B60A3A" w:rsidP="00B60A3A">
      <w:pPr>
        <w:spacing w:line="240" w:lineRule="auto"/>
        <w:ind w:left="-426"/>
        <w:jc w:val="both"/>
        <w:rPr>
          <w:rFonts w:ascii="Times New Roman" w:hAnsi="Times New Roman" w:cs="Times New Roman"/>
        </w:rPr>
      </w:pPr>
    </w:p>
    <w:p w14:paraId="297510E0" w14:textId="77777777" w:rsidR="00B60A3A" w:rsidRPr="00B60A3A" w:rsidRDefault="00B60A3A" w:rsidP="00B60A3A">
      <w:pPr>
        <w:spacing w:line="240" w:lineRule="auto"/>
        <w:ind w:left="-426"/>
        <w:jc w:val="both"/>
        <w:rPr>
          <w:rFonts w:ascii="Times New Roman" w:hAnsi="Times New Roman" w:cs="Times New Roman"/>
          <w:b/>
          <w:bCs/>
        </w:rPr>
      </w:pPr>
      <w:r w:rsidRPr="00B60A3A">
        <w:rPr>
          <w:rFonts w:ascii="Times New Roman" w:hAnsi="Times New Roman" w:cs="Times New Roman"/>
          <w:b/>
          <w:bCs/>
        </w:rPr>
        <w:t>3. Principales indicadores operativos</w:t>
      </w:r>
    </w:p>
    <w:p w14:paraId="0B152B8F"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La operación registrada durante el periodo cubrió {{TOTAL_MUNICIPIOS}} municipios y fue atendida por {{TOTAL_GUARDARECURSOS}} guardarecursos activos. El total de monitoreos registrados fue de {{TOTAL_MONITOREOS}}, con un área reforestada acumulada de {{TOTAL_AREA_REFORESTADA}} y un promedio de {{PROMEDIO_AREA}} por monitoreo.</w:t>
      </w:r>
    </w:p>
    <w:p w14:paraId="4634B9AE"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La lectura conjunta de estos indicadores permite interpretar el esfuerzo operativo más allá del número total de registros. La cantidad de monitoreos refleja la frecuencia de atención y seguimiento institucional; los municipios cubiertos permiten aproximar la amplitud territorial del trabajo; el área reforestada permite dimensionar la escala de las acciones reportadas; y la cantidad de especies registradas permite observar la diversidad vegetal utilizada en las actividades de reforestación.</w:t>
      </w:r>
    </w:p>
    <w:p w14:paraId="6FC432E8"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Estos indicadores son útiles para analizar la distribución del trabajo por territorio, identificar zonas con mayor concentración de monitoreos, revisar el nivel de participación de los guardarecursos y orientar decisiones relacionadas con supervisión, asistencia técnica, seguimiento a compromisos y fortalecimiento de las acciones de restauración.</w:t>
      </w:r>
    </w:p>
    <w:p w14:paraId="54E1E14C"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La interpretación de los indicadores debe considerar que cada registro corresponde a un monitoreo o reporte de reforestación levantado en campo. Por ello, la información consolidada representa el estado de los datos disponibles en el sistema al momento de generar el informe, y puede complementarse con verificaciones posteriores, registros fotográficos, visitas de campo y evaluaciones técnicas específicas.</w:t>
      </w:r>
    </w:p>
    <w:p w14:paraId="788CF38D" w14:textId="7972C6C7" w:rsidR="00B60A3A" w:rsidRPr="00B60A3A" w:rsidRDefault="00B60A3A" w:rsidP="00B60A3A">
      <w:pPr>
        <w:spacing w:line="240" w:lineRule="auto"/>
        <w:ind w:left="-426"/>
        <w:jc w:val="both"/>
        <w:rPr>
          <w:rFonts w:ascii="Times New Roman" w:hAnsi="Times New Roman" w:cs="Times New Roman"/>
        </w:rPr>
      </w:pPr>
    </w:p>
    <w:p w14:paraId="52686B59" w14:textId="77777777" w:rsidR="00B60A3A" w:rsidRPr="00B60A3A" w:rsidRDefault="00B60A3A" w:rsidP="00B60A3A">
      <w:pPr>
        <w:spacing w:line="240" w:lineRule="auto"/>
        <w:ind w:left="-426"/>
        <w:jc w:val="both"/>
        <w:rPr>
          <w:rFonts w:ascii="Times New Roman" w:hAnsi="Times New Roman" w:cs="Times New Roman"/>
          <w:b/>
          <w:bCs/>
        </w:rPr>
      </w:pPr>
      <w:r w:rsidRPr="00B60A3A">
        <w:rPr>
          <w:rFonts w:ascii="Times New Roman" w:hAnsi="Times New Roman" w:cs="Times New Roman"/>
          <w:b/>
          <w:bCs/>
        </w:rPr>
        <w:t>4. Análisis territorial de las reforestaciones</w:t>
      </w:r>
    </w:p>
    <w:p w14:paraId="0AEB0A61"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La mayor concentración territorial de monitoreos de reforestación se observó en los municipios de {{TOP_MUNICIPIOS_MONITOREOS}}. Esta distribución permite identificar los territorios donde se registró mayor actividad durante el periodo seleccionado y orientar la revisión institucional hacia las zonas donde se concentró el esfuerzo operativo.</w:t>
      </w:r>
    </w:p>
    <w:p w14:paraId="75F9E4EE"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La distribución territorial debe interpretarse considerando factores como demanda de seguimiento, ubicación de compromisos pendientes, programación de visitas, disponibilidad del personal, accesibilidad a los sitios, coordinación comunitaria, época del año y concentración previa de acciones de aprovechamiento o restauración. Un municipio con mayor número de registros no necesariamente representa una mayor problemática ambiental, sino una mayor actividad formalmente documentada en el sistema.</w:t>
      </w:r>
    </w:p>
    <w:p w14:paraId="0ED0796C"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lastRenderedPageBreak/>
        <w:t>Además de la cantidad de monitoreos, resulta importante observar el área reforestada por municipio. Los municipios con mayor área registrada fueron {{TOP_MUNICIPIOS_AREA}}. Esta lectura permite diferenciar territorios con más monitoreos de aquellos donde, aun con menos registros, la extensión reforestada pudo ser mayor.</w:t>
      </w:r>
    </w:p>
    <w:p w14:paraId="6ECEDA8E"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La revisión territorial también permite identificar posibles zonas donde se concentran compromisos de reforestación, municipios con menor presencia registrada y áreas donde podrían requerirse acciones complementarias de supervisión, asistencia técnica, educación ambiental, fortalecimiento comunitario o reposición de plantas.</w:t>
      </w:r>
    </w:p>
    <w:p w14:paraId="10A36DE1" w14:textId="47469299" w:rsidR="00B60A3A" w:rsidRPr="00B60A3A" w:rsidRDefault="00B60A3A" w:rsidP="00B60A3A">
      <w:pPr>
        <w:spacing w:line="240" w:lineRule="auto"/>
        <w:ind w:left="-426"/>
        <w:jc w:val="both"/>
        <w:rPr>
          <w:rFonts w:ascii="Times New Roman" w:hAnsi="Times New Roman" w:cs="Times New Roman"/>
        </w:rPr>
      </w:pPr>
    </w:p>
    <w:p w14:paraId="68BB009E" w14:textId="77777777" w:rsidR="00B60A3A" w:rsidRPr="00B60A3A" w:rsidRDefault="00B60A3A" w:rsidP="00B60A3A">
      <w:pPr>
        <w:spacing w:line="240" w:lineRule="auto"/>
        <w:ind w:left="-426"/>
        <w:jc w:val="both"/>
        <w:rPr>
          <w:rFonts w:ascii="Times New Roman" w:hAnsi="Times New Roman" w:cs="Times New Roman"/>
          <w:b/>
          <w:bCs/>
        </w:rPr>
      </w:pPr>
      <w:r w:rsidRPr="00B60A3A">
        <w:rPr>
          <w:rFonts w:ascii="Times New Roman" w:hAnsi="Times New Roman" w:cs="Times New Roman"/>
          <w:b/>
          <w:bCs/>
        </w:rPr>
        <w:t>4.1 Cobertura por área protegida y zona de intervención</w:t>
      </w:r>
    </w:p>
    <w:p w14:paraId="691389DC"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Las áreas protegidas o zonas de intervención con mayor cantidad de registros fueron {{TOP_AREAS_PROTEGIDAS}}. Este resultado permite observar la concentración del trabajo de monitoreo por zona de conservación, área de influencia o ubicación operativa reportada durante el periodo seleccionado.</w:t>
      </w:r>
    </w:p>
    <w:p w14:paraId="2D9C9C4F"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La distribución por área protegida debe interpretarse considerando que los nombres registrados en campo pueden responder a criterios operativos, referencias territoriales, áreas de influencia, denominaciones comunitarias o categorías utilizadas por el personal durante el levantamiento de información. Para efectos del informe, los datos se presentan de forma consolidada según la normalización aplicada en el sistema.</w:t>
      </w:r>
    </w:p>
    <w:p w14:paraId="6C253EF0"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La cobertura por área protegida permite analizar si las acciones de reforestación se concentraron dentro de RUMCLA, en zonas de influencia directa, en municipios vinculados a la gestión del área protegida o en territorios externos donde el personal brinda apoyo operativo. Esta lectura ayuda a comprender la relación entre la reforestación por compromiso y los objetivos de conservación, restauración y manejo sostenible de los recursos naturales.</w:t>
      </w:r>
    </w:p>
    <w:p w14:paraId="6BEC7EE3" w14:textId="53659DF8" w:rsidR="00B60A3A" w:rsidRPr="00B60A3A" w:rsidRDefault="00B60A3A" w:rsidP="00B60A3A">
      <w:pPr>
        <w:spacing w:line="240" w:lineRule="auto"/>
        <w:ind w:left="-426"/>
        <w:jc w:val="both"/>
        <w:rPr>
          <w:rFonts w:ascii="Times New Roman" w:hAnsi="Times New Roman" w:cs="Times New Roman"/>
        </w:rPr>
      </w:pPr>
    </w:p>
    <w:p w14:paraId="6ACCB47C" w14:textId="77777777" w:rsidR="00B60A3A" w:rsidRPr="00B60A3A" w:rsidRDefault="00B60A3A" w:rsidP="00B60A3A">
      <w:pPr>
        <w:spacing w:line="240" w:lineRule="auto"/>
        <w:ind w:left="-426"/>
        <w:jc w:val="both"/>
        <w:rPr>
          <w:rFonts w:ascii="Times New Roman" w:hAnsi="Times New Roman" w:cs="Times New Roman"/>
          <w:b/>
          <w:bCs/>
        </w:rPr>
      </w:pPr>
      <w:r w:rsidRPr="00B60A3A">
        <w:rPr>
          <w:rFonts w:ascii="Times New Roman" w:hAnsi="Times New Roman" w:cs="Times New Roman"/>
          <w:b/>
          <w:bCs/>
        </w:rPr>
        <w:t>4.2 Cobertura dentro y fuera de RUMCLA</w:t>
      </w:r>
    </w:p>
    <w:p w14:paraId="4A34FA26"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Del total de monitoreos registrados, {{TOTAL_RUMCLA}} se reportaron dentro de RUMCLA y {{TOTAL_FUERA_RUMCLA}} fuera de RUMCLA. Esta distribución permite evaluar si el esfuerzo operativo y las acciones de reforestación se concentraron dentro del área protegida principal o si existió una proporción importante de registros en zonas externas, comunidades de influencia, municipios vecinos u otros territorios vinculados a la gestión regional.</w:t>
      </w:r>
    </w:p>
    <w:p w14:paraId="6D6D5C71"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La cobertura fuera de RUMCLA no debe interpretarse necesariamente como un dato ajeno a la gestión del área protegida, ya que puede corresponder a acciones de apoyo institucional, seguimiento de compromisos asumidos en comunidades relacionadas con la dinámica territorial, coordinación entre guardarecursos o actividades vinculadas indirectamente con la restauración y protección de recursos forestales.</w:t>
      </w:r>
    </w:p>
    <w:p w14:paraId="178056AF"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La comparación entre registros dentro y fuera de RUMCLA permite documentar el alcance territorial de la atención brindada, apoyar la toma de decisiones sobre asignación de personal y fortalecer el análisis institucional sobre la relación entre compromisos de reforestación, ubicación geográfica, presión sobre recursos forestales y necesidades de seguimiento técnico.</w:t>
      </w:r>
    </w:p>
    <w:p w14:paraId="318A4653" w14:textId="739FC56B" w:rsidR="00B60A3A" w:rsidRDefault="00B60A3A" w:rsidP="00B60A3A">
      <w:pPr>
        <w:spacing w:line="240" w:lineRule="auto"/>
        <w:ind w:left="-426"/>
        <w:jc w:val="both"/>
        <w:rPr>
          <w:rFonts w:ascii="Times New Roman" w:hAnsi="Times New Roman" w:cs="Times New Roman"/>
        </w:rPr>
      </w:pPr>
    </w:p>
    <w:p w14:paraId="52F7CA8E" w14:textId="77777777" w:rsidR="00B60A3A" w:rsidRPr="00B60A3A" w:rsidRDefault="00B60A3A" w:rsidP="00B60A3A">
      <w:pPr>
        <w:spacing w:line="240" w:lineRule="auto"/>
        <w:ind w:left="-426"/>
        <w:jc w:val="both"/>
        <w:rPr>
          <w:rFonts w:ascii="Times New Roman" w:hAnsi="Times New Roman" w:cs="Times New Roman"/>
        </w:rPr>
      </w:pPr>
    </w:p>
    <w:p w14:paraId="20B8B452" w14:textId="77777777" w:rsidR="00B60A3A" w:rsidRPr="00B60A3A" w:rsidRDefault="00B60A3A" w:rsidP="00B60A3A">
      <w:pPr>
        <w:spacing w:line="240" w:lineRule="auto"/>
        <w:ind w:left="-426"/>
        <w:jc w:val="both"/>
        <w:rPr>
          <w:rFonts w:ascii="Times New Roman" w:hAnsi="Times New Roman" w:cs="Times New Roman"/>
          <w:b/>
          <w:bCs/>
        </w:rPr>
      </w:pPr>
      <w:r w:rsidRPr="00B60A3A">
        <w:rPr>
          <w:rFonts w:ascii="Times New Roman" w:hAnsi="Times New Roman" w:cs="Times New Roman"/>
          <w:b/>
          <w:bCs/>
        </w:rPr>
        <w:lastRenderedPageBreak/>
        <w:t>5. Análisis por especies reforestadas</w:t>
      </w:r>
    </w:p>
    <w:p w14:paraId="68EA8348"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Durante el periodo, las especies con mayor presencia en los registros de reforestación fueron {{TOP_ESPECIES}}. Esta distribución permite observar cuáles fueron las especies más utilizadas o reportadas en las acciones de reforestación por compromiso y facilita la identificación de patrones de reposición vegetal.</w:t>
      </w:r>
    </w:p>
    <w:p w14:paraId="07BB44AA"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La lectura por especie es importante porque no todas las especies tienen la misma función ecológica, disponibilidad en viveros, adaptabilidad territorial, valor cultural, velocidad de crecimiento o requerimientos de manejo. Algunas especies pueden aparecer con mayor frecuencia por su disponibilidad local, facilidad de establecimiento, uso comunitario, recomendación técnica o relación con procesos previos de aprovechamiento forestal.</w:t>
      </w:r>
    </w:p>
    <w:p w14:paraId="3645E9A0"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La concentración de registros en determinadas especies puede mostrar tendencias relevantes para la gestión forestal. Cuando una especie aparece de forma recurrente, puede ser conveniente revisar si responde adecuadamente a las condiciones del sitio, si contribuye a los objetivos de restauración y si requiere seguimiento específico en términos de supervivencia, mantenimiento o reposición.</w:t>
      </w:r>
    </w:p>
    <w:p w14:paraId="33207DFC"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El desglose por especie también permite orientar la planificación de viveros, la producción de plantas, las campañas de reforestación y las recomendaciones técnicas para futuras acciones de reposición. En este sentido, la información del módulo de reforestaciones por compromiso puede complementar otros procesos institucionales relacionados con consumo forestal familiar, viveros forestales, restauración ecológica, monitoreo de cobertura forestal y educación ambiental.</w:t>
      </w:r>
    </w:p>
    <w:p w14:paraId="008E04BE" w14:textId="7C6A15EC" w:rsidR="00B60A3A" w:rsidRPr="00B60A3A" w:rsidRDefault="00B60A3A" w:rsidP="00B60A3A">
      <w:pPr>
        <w:spacing w:line="240" w:lineRule="auto"/>
        <w:ind w:left="-426"/>
        <w:jc w:val="both"/>
        <w:rPr>
          <w:rFonts w:ascii="Times New Roman" w:hAnsi="Times New Roman" w:cs="Times New Roman"/>
        </w:rPr>
      </w:pPr>
    </w:p>
    <w:p w14:paraId="6358987B" w14:textId="77777777" w:rsidR="00B60A3A" w:rsidRPr="00B60A3A" w:rsidRDefault="00B60A3A" w:rsidP="00B60A3A">
      <w:pPr>
        <w:spacing w:line="240" w:lineRule="auto"/>
        <w:ind w:left="-426"/>
        <w:jc w:val="both"/>
        <w:rPr>
          <w:rFonts w:ascii="Times New Roman" w:hAnsi="Times New Roman" w:cs="Times New Roman"/>
          <w:b/>
          <w:bCs/>
        </w:rPr>
      </w:pPr>
      <w:r w:rsidRPr="00B60A3A">
        <w:rPr>
          <w:rFonts w:ascii="Times New Roman" w:hAnsi="Times New Roman" w:cs="Times New Roman"/>
          <w:b/>
          <w:bCs/>
        </w:rPr>
        <w:t>6. Área reforestada y escala de intervención</w:t>
      </w:r>
    </w:p>
    <w:p w14:paraId="58DE8E02"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Durante el periodo se reportó un área total reforestada de {{TOTAL_AREA_REFORESTADA}}. Este indicador constituye uno de los elementos centrales del informe, ya que permite dimensionar la escala territorial de las acciones de reforestación registradas y comparar la intensidad de intervención entre municipios, áreas protegidas y guardarecursos.</w:t>
      </w:r>
    </w:p>
    <w:p w14:paraId="6CFADA89"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El promedio de área reforestada por monitoreo fue de {{PROMEDIO_AREA}}. Este valor permite identificar si el periodo estuvo compuesto principalmente por registros de pequeña escala, por acciones de extensión media o por intervenciones más amplias concentradas en pocos sitios.</w:t>
      </w:r>
    </w:p>
    <w:p w14:paraId="6E9EA49D"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La relación entre número de monitoreos y área reportada debe interpretarse de forma conjunta. Un alto número de registros no siempre implica una mayor área reforestada, ya que algunos monitoreos pueden corresponder a sitios pequeños, visitas de seguimiento o registros de control. De igual forma, un número reducido de monitoreos puede representar una superficie relevante si los sitios reportados tienen mayor extensión.</w:t>
      </w:r>
    </w:p>
    <w:p w14:paraId="571E1C23"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La revisión del área reforestada ayuda a priorizar el seguimiento técnico en municipios o sitios con mayor superficie registrada. También permite orientar acciones de verificación, mantenimiento, evaluación de supervivencia, reposición de plantas y coordinación con los responsables de cada compromiso.</w:t>
      </w:r>
    </w:p>
    <w:p w14:paraId="392A435B" w14:textId="14509CE5" w:rsidR="00B60A3A" w:rsidRDefault="00B60A3A" w:rsidP="00B60A3A">
      <w:pPr>
        <w:spacing w:line="240" w:lineRule="auto"/>
        <w:ind w:left="-426"/>
        <w:jc w:val="both"/>
        <w:rPr>
          <w:rFonts w:ascii="Times New Roman" w:hAnsi="Times New Roman" w:cs="Times New Roman"/>
        </w:rPr>
      </w:pPr>
    </w:p>
    <w:p w14:paraId="536ECEE1" w14:textId="77777777" w:rsidR="00B60A3A" w:rsidRDefault="00B60A3A" w:rsidP="00B60A3A">
      <w:pPr>
        <w:spacing w:line="240" w:lineRule="auto"/>
        <w:ind w:left="-426"/>
        <w:jc w:val="both"/>
        <w:rPr>
          <w:rFonts w:ascii="Times New Roman" w:hAnsi="Times New Roman" w:cs="Times New Roman"/>
        </w:rPr>
      </w:pPr>
    </w:p>
    <w:p w14:paraId="67D73CDB" w14:textId="77777777" w:rsidR="00B60A3A" w:rsidRPr="00B60A3A" w:rsidRDefault="00B60A3A" w:rsidP="00B60A3A">
      <w:pPr>
        <w:spacing w:line="240" w:lineRule="auto"/>
        <w:ind w:left="-426"/>
        <w:jc w:val="both"/>
        <w:rPr>
          <w:rFonts w:ascii="Times New Roman" w:hAnsi="Times New Roman" w:cs="Times New Roman"/>
        </w:rPr>
      </w:pPr>
    </w:p>
    <w:p w14:paraId="2566CF54" w14:textId="77777777" w:rsidR="00B60A3A" w:rsidRPr="00B60A3A" w:rsidRDefault="00B60A3A" w:rsidP="00B60A3A">
      <w:pPr>
        <w:spacing w:line="240" w:lineRule="auto"/>
        <w:ind w:left="-426"/>
        <w:jc w:val="both"/>
        <w:rPr>
          <w:rFonts w:ascii="Times New Roman" w:hAnsi="Times New Roman" w:cs="Times New Roman"/>
          <w:b/>
          <w:bCs/>
        </w:rPr>
      </w:pPr>
      <w:r w:rsidRPr="00B60A3A">
        <w:rPr>
          <w:rFonts w:ascii="Times New Roman" w:hAnsi="Times New Roman" w:cs="Times New Roman"/>
          <w:b/>
          <w:bCs/>
        </w:rPr>
        <w:lastRenderedPageBreak/>
        <w:t>7. Tipo de reforestación y naturaleza del compromiso</w:t>
      </w:r>
    </w:p>
    <w:p w14:paraId="742C981D"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Los tipos de reforestación más frecuentes durante el periodo fueron {{TOP_TIPOS_REFORESTACION}}. Esta información permite comprender la naturaleza de las acciones reportadas y diferenciar los registros según la categoría operativa utilizada en campo.</w:t>
      </w:r>
    </w:p>
    <w:p w14:paraId="6DD47F20"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El tipo de reforestación puede estar asociado a compromisos derivados de aprovechamientos forestales, acciones de restauración, reposición de plantas, seguimiento comunitario, intervenciones en áreas degradadas o procesos institucionales específicos. Por ello, su análisis permite observar no solo cuántos registros se levantaron, sino también qué clase de acciones se documentaron durante el periodo.</w:t>
      </w:r>
    </w:p>
    <w:p w14:paraId="0C1DF2BA"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Cuando un tipo de reforestación concentra una proporción alta de registros, puede ser conveniente revisar si responde a una prioridad institucional, a compromisos acumulados, a una campaña específica, a una época adecuada de siembra o a una necesidad particular de seguimiento. Esta lectura contribuye a mejorar la planificación operativa y a diferenciar acciones de establecimiento inicial frente a procesos de monitoreo posterior.</w:t>
      </w:r>
    </w:p>
    <w:p w14:paraId="73F58609"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La información sobre tipo de reforestación debe analizarse junto con el municipio, el área protegida, la especie reportada, el área reforestada y el guardarecurso responsable. Esa combinación permite una interpretación más completa del esfuerzo institucional y de los resultados alcanzados durante el periodo.</w:t>
      </w:r>
    </w:p>
    <w:p w14:paraId="2D23F783" w14:textId="37E62CC7" w:rsidR="00B60A3A" w:rsidRPr="00B60A3A" w:rsidRDefault="00B60A3A" w:rsidP="00B60A3A">
      <w:pPr>
        <w:spacing w:line="240" w:lineRule="auto"/>
        <w:ind w:left="-426"/>
        <w:jc w:val="both"/>
        <w:rPr>
          <w:rFonts w:ascii="Times New Roman" w:hAnsi="Times New Roman" w:cs="Times New Roman"/>
        </w:rPr>
      </w:pPr>
    </w:p>
    <w:p w14:paraId="57DB3A53" w14:textId="77777777" w:rsidR="00B60A3A" w:rsidRPr="00B60A3A" w:rsidRDefault="00B60A3A" w:rsidP="00B60A3A">
      <w:pPr>
        <w:spacing w:line="240" w:lineRule="auto"/>
        <w:ind w:left="-426"/>
        <w:jc w:val="both"/>
        <w:rPr>
          <w:rFonts w:ascii="Times New Roman" w:hAnsi="Times New Roman" w:cs="Times New Roman"/>
          <w:b/>
          <w:bCs/>
        </w:rPr>
      </w:pPr>
      <w:r w:rsidRPr="00B60A3A">
        <w:rPr>
          <w:rFonts w:ascii="Times New Roman" w:hAnsi="Times New Roman" w:cs="Times New Roman"/>
          <w:b/>
          <w:bCs/>
        </w:rPr>
        <w:t>8. Lectura operativa del periodo</w:t>
      </w:r>
    </w:p>
    <w:p w14:paraId="105964E9"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El comportamiento general del periodo muestra la relación entre presencia territorial, cantidad de guardarecursos activos, municipios cubiertos, monitoreos registrados, área reforestada, especies reportadas, áreas protegidas atendidas y tipos de reforestación documentados.</w:t>
      </w:r>
    </w:p>
    <w:p w14:paraId="5081018E"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Cuando el volumen de monitoreos aumenta en determinados municipios, se recomienda revisar si la concentración responde a una mayor programación operativa, a seguimiento de compromisos pendientes, a facilidad de acceso, a coordinación comunitaria, a disponibilidad del personal o a procesos de regularización de información que se encontraban pendientes de registro.</w:t>
      </w:r>
    </w:p>
    <w:p w14:paraId="0025864C"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Cuando el área reforestada es alta, aunque el número de monitoreos no lo sea, puede interpretarse como un periodo con intervenciones de mayor escala por sitio. En esos casos, la revisión debe enfocarse no solo en la cantidad de registros, sino también en la superficie reportada, las especies utilizadas, el tipo de reforestación, el municipio de atención y el guardarecurso responsable.</w:t>
      </w:r>
    </w:p>
    <w:p w14:paraId="3A9DBFB1"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Por el contrario, cuando existe una mayor cantidad de monitoreos con áreas pequeñas, el periodo puede reflejar acciones de seguimiento distribuidas, visitas a sitios puntuales, monitoreos de control o actividades de verificación en múltiples lugares. Esta lectura puede ser útil para planificar nuevas visitas, validar el estado de las plantas y orientar acciones de mantenimiento o reposición.</w:t>
      </w:r>
    </w:p>
    <w:p w14:paraId="50CFB7FA"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La interpretación de estos resultados debe considerar la asignación territorial de los guardarecursos, la disponibilidad de personal, las condiciones de acceso, la programación operativa del periodo, la época del año, la disponibilidad de planta, la coordinación con comunidades y la consistencia de los datos ingresados en campo. También debe considerarse que los registros provienen de boletas de campo, por lo que la calidad de los resultados depende de la completitud y precisión de la información reportada.</w:t>
      </w:r>
    </w:p>
    <w:p w14:paraId="4BD1CF68" w14:textId="62254B7E" w:rsidR="00B60A3A" w:rsidRPr="00B60A3A" w:rsidRDefault="00B60A3A" w:rsidP="00B60A3A">
      <w:pPr>
        <w:spacing w:line="240" w:lineRule="auto"/>
        <w:ind w:left="-426"/>
        <w:jc w:val="both"/>
        <w:rPr>
          <w:rFonts w:ascii="Times New Roman" w:hAnsi="Times New Roman" w:cs="Times New Roman"/>
        </w:rPr>
      </w:pPr>
    </w:p>
    <w:p w14:paraId="4B0E9D9A" w14:textId="77777777" w:rsidR="00B60A3A" w:rsidRPr="00B60A3A" w:rsidRDefault="00B60A3A" w:rsidP="00B60A3A">
      <w:pPr>
        <w:spacing w:line="240" w:lineRule="auto"/>
        <w:ind w:left="-426"/>
        <w:jc w:val="both"/>
        <w:rPr>
          <w:rFonts w:ascii="Times New Roman" w:hAnsi="Times New Roman" w:cs="Times New Roman"/>
          <w:b/>
          <w:bCs/>
        </w:rPr>
      </w:pPr>
      <w:r w:rsidRPr="00B60A3A">
        <w:rPr>
          <w:rFonts w:ascii="Times New Roman" w:hAnsi="Times New Roman" w:cs="Times New Roman"/>
          <w:b/>
          <w:bCs/>
        </w:rPr>
        <w:t>9. Desempeño consolidado por guardarecurso</w:t>
      </w:r>
    </w:p>
    <w:p w14:paraId="0AC0E81A"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lastRenderedPageBreak/>
        <w:t>El análisis por guardarecurso resume la participación individual durante el periodo seleccionado. Para facilitar la lectura ejecutiva, el informe consolida por persona la cantidad total de monitoreos atendidos, el área reforestada registrada, los municipios cubiertos, las especies reportadas, el tipo de reforestación principal y otros indicadores operativos calculados para el periodo.</w:t>
      </w:r>
    </w:p>
    <w:p w14:paraId="2594E80B"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Los guardarecursos con mayor cantidad de monitoreos registrados fueron {{TOP_GUARDARECURSOS_MONITOREOS}}. La revisión de estos valores debe considerar que una mayor cantidad de registros puede relacionarse con asignaciones territoriales, concentración de compromisos, disponibilidad de jornadas, carga operativa del mes, condiciones de acceso o necesidades específicas de seguimiento en determinados municipios.</w:t>
      </w:r>
    </w:p>
    <w:p w14:paraId="5C96A31E"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Los guardarecursos con mayor área reforestada registrada fueron {{TOP_GUARDARECURSOS_AREA}}. Este indicador complementa el conteo de monitoreos, ya que permite observar no solo cuántos registros fueron levantados, sino también la escala territorial reportada bajo la responsabilidad operativa de cada persona durante el periodo.</w:t>
      </w:r>
    </w:p>
    <w:p w14:paraId="19FCADC9"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La comparación entre guardarecursos debe interpretarse con cuidado, ya que no todos los territorios tienen la misma demanda, accesibilidad, cobertura boscosa, cantidad de comunidades, disponibilidad de áreas reforestadas o programación mensual. Por ello, los resultados individuales deben utilizarse como insumo de seguimiento institucional y no como una evaluación aislada del desempeño del personal.</w:t>
      </w:r>
    </w:p>
    <w:p w14:paraId="0DA3C37A"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El consolidado por guardarecurso también permite identificar necesidades de acompañamiento, redistribución de carga operativa, coordinación entre municipios y priorización de verificaciones posteriores. Cuando un guardarecurso concentra altos valores de monitoreos o áreas reforestadas, puede ser conveniente fortalecer el seguimiento técnico para garantizar que los compromisos asociados sean documentados, monitoreados y verificados oportunamente.</w:t>
      </w:r>
    </w:p>
    <w:p w14:paraId="5E8ECF6C" w14:textId="4BCDF96A" w:rsidR="00B60A3A" w:rsidRPr="00B60A3A" w:rsidRDefault="00B60A3A" w:rsidP="00B60A3A">
      <w:pPr>
        <w:spacing w:line="240" w:lineRule="auto"/>
        <w:ind w:left="-426"/>
        <w:jc w:val="both"/>
        <w:rPr>
          <w:rFonts w:ascii="Times New Roman" w:hAnsi="Times New Roman" w:cs="Times New Roman"/>
        </w:rPr>
      </w:pPr>
    </w:p>
    <w:p w14:paraId="27B8539A" w14:textId="77777777" w:rsidR="00B60A3A" w:rsidRPr="00B60A3A" w:rsidRDefault="00B60A3A" w:rsidP="00B60A3A">
      <w:pPr>
        <w:spacing w:line="240" w:lineRule="auto"/>
        <w:ind w:left="-426"/>
        <w:jc w:val="both"/>
        <w:rPr>
          <w:rFonts w:ascii="Times New Roman" w:hAnsi="Times New Roman" w:cs="Times New Roman"/>
          <w:b/>
          <w:bCs/>
        </w:rPr>
      </w:pPr>
      <w:r w:rsidRPr="00B60A3A">
        <w:rPr>
          <w:rFonts w:ascii="Times New Roman" w:hAnsi="Times New Roman" w:cs="Times New Roman"/>
          <w:b/>
          <w:bCs/>
        </w:rPr>
        <w:t>10. Consideraciones sobre el seguimiento de reforestaciones</w:t>
      </w:r>
    </w:p>
    <w:p w14:paraId="656C0DF7"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El seguimiento de reforestaciones presentado en este informe permite documentar las acciones registradas durante el periodo seleccionado y consolidar información sobre monitoreos, áreas, especies, municipios, áreas protegidas y responsables operativos. Esta información constituye una base para la planificación de visitas posteriores, la revisión de compromisos y la toma de decisiones relacionadas con restauración y conservación.</w:t>
      </w:r>
    </w:p>
    <w:p w14:paraId="7D60A075"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El informe no sustituye los procesos de verificación en campo ni confirma por sí mismo el éxito ecológico de las acciones reportadas. Su función principal es consolidar la información disponible, identificar patrones territoriales y operativos, y facilitar el seguimiento institucional de los compromisos de reforestación.</w:t>
      </w:r>
    </w:p>
    <w:p w14:paraId="7EF89FA3"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Para una adecuada interpretación, los resultados deben analizarse junto con la ubicación del sitio, las especies utilizadas, la época de siembra, las condiciones del terreno, la disponibilidad de agua, el mantenimiento posterior, la protección contra disturbios y la supervivencia de las plantas. Estos factores influyen directamente en la efectividad de las acciones de reforestación.</w:t>
      </w:r>
    </w:p>
    <w:p w14:paraId="2311293A"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El uso de este informe permite mantener una trazabilidad básica de los registros de reforestación por compromiso, fortaleciendo la capacidad institucional para dar seguimiento a las acciones reportadas y promoviendo una gestión más responsable de los procesos de reposición forestal.</w:t>
      </w:r>
    </w:p>
    <w:p w14:paraId="64675708" w14:textId="738576A3" w:rsidR="00B60A3A" w:rsidRPr="00B60A3A" w:rsidRDefault="00B60A3A" w:rsidP="00B60A3A">
      <w:pPr>
        <w:spacing w:line="240" w:lineRule="auto"/>
        <w:ind w:left="-426"/>
        <w:jc w:val="both"/>
        <w:rPr>
          <w:rFonts w:ascii="Times New Roman" w:hAnsi="Times New Roman" w:cs="Times New Roman"/>
        </w:rPr>
      </w:pPr>
    </w:p>
    <w:p w14:paraId="6B82BA40" w14:textId="77777777" w:rsidR="00B60A3A" w:rsidRPr="00B60A3A" w:rsidRDefault="00B60A3A" w:rsidP="00B60A3A">
      <w:pPr>
        <w:spacing w:line="240" w:lineRule="auto"/>
        <w:ind w:left="-426"/>
        <w:jc w:val="both"/>
        <w:rPr>
          <w:rFonts w:ascii="Times New Roman" w:hAnsi="Times New Roman" w:cs="Times New Roman"/>
          <w:b/>
          <w:bCs/>
        </w:rPr>
      </w:pPr>
      <w:r w:rsidRPr="00B60A3A">
        <w:rPr>
          <w:rFonts w:ascii="Times New Roman" w:hAnsi="Times New Roman" w:cs="Times New Roman"/>
          <w:b/>
          <w:bCs/>
        </w:rPr>
        <w:lastRenderedPageBreak/>
        <w:t>11. Consideraciones metodológicas</w:t>
      </w:r>
    </w:p>
    <w:p w14:paraId="11301C1E"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El informe fue generado automáticamente a partir de los registros disponibles en el archivo de reforestaciones por compromiso del sistema. Los cálculos de monitoreos, área reforestada, municipios cubiertos, especies reportadas, guardarecursos activos, áreas protegidas y tipos de reforestación se realizan únicamente sobre los registros incluidos dentro del periodo seleccionado.</w:t>
      </w:r>
    </w:p>
    <w:p w14:paraId="7DB36FE7"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Las fechas utilizadas para filtrar los registros corresponden al campo de fecha reportado en la boleta. Por ello, el informe refleja los monitoreos documentados en el sistema durante el intervalo seleccionado y no necesariamente todos los eventos ocurridos físicamente en campo si estos fueron registrados posteriormente o fuera del rango definido.</w:t>
      </w:r>
    </w:p>
    <w:p w14:paraId="67D8FC48"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Los nombres de guardarecursos, municipios, áreas protegidas, tipos de reforestación y especies se presentan de forma consolidada según la normalización aplicada en el sistema. Esta normalización permite agrupar registros que pueden contener variaciones de escritura, tildes, abreviaturas o diferencias menores en la digitación.</w:t>
      </w:r>
    </w:p>
    <w:p w14:paraId="0A5350AB"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Los valores de área reforestada se calculan a partir del campo de área reportado en cada registro. En caso de inconsistencias, valores atípicos o ausencia de información, se recomienda revisar el registro individual para validar la información de campo.</w:t>
      </w:r>
    </w:p>
    <w:p w14:paraId="394A62EC"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La tabla final agrupa los registros por guardarecurso y no por boleta individual. Por lo tanto, cada fila representa un resumen operativo del periodo para una persona específica, incluyendo monitoreos atendidos, área reforestada, municipios cubiertos, especies reportadas y tipo de reforestación principal. Para análisis detallados por sitio, usuario, coordenada, especie o tipo de reforestación, se recomienda revisar los registros individuales disponibles en la tabla del sistema.</w:t>
      </w:r>
    </w:p>
    <w:p w14:paraId="4BA0A1BA" w14:textId="4F9C4579" w:rsidR="00250954" w:rsidRDefault="00250954" w:rsidP="00B60A3A">
      <w:pPr>
        <w:spacing w:line="240" w:lineRule="auto"/>
        <w:jc w:val="both"/>
        <w:rPr>
          <w:rFonts w:ascii="Times New Roman" w:hAnsi="Times New Roman" w:cs="Times New Roman"/>
        </w:rPr>
      </w:pPr>
    </w:p>
    <w:p w14:paraId="044A1FCB" w14:textId="261CFA33" w:rsidR="009F7B0E" w:rsidRDefault="009F7B0E" w:rsidP="00250954">
      <w:pPr>
        <w:spacing w:line="240" w:lineRule="auto"/>
        <w:ind w:left="-426"/>
        <w:jc w:val="cente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4CB3FC65" wp14:editId="24092863">
            <wp:simplePos x="0" y="0"/>
            <wp:positionH relativeFrom="column">
              <wp:posOffset>1472565</wp:posOffset>
            </wp:positionH>
            <wp:positionV relativeFrom="paragraph">
              <wp:posOffset>253365</wp:posOffset>
            </wp:positionV>
            <wp:extent cx="3086100" cy="2057400"/>
            <wp:effectExtent l="0" t="0" r="0" b="0"/>
            <wp:wrapNone/>
            <wp:docPr id="192901928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19285" name="Imagen 1929019285"/>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86100" cy="2057400"/>
                    </a:xfrm>
                    <a:prstGeom prst="rect">
                      <a:avLst/>
                    </a:prstGeom>
                  </pic:spPr>
                </pic:pic>
              </a:graphicData>
            </a:graphic>
            <wp14:sizeRelH relativeFrom="page">
              <wp14:pctWidth>0</wp14:pctWidth>
            </wp14:sizeRelH>
            <wp14:sizeRelV relativeFrom="page">
              <wp14:pctHeight>0</wp14:pctHeight>
            </wp14:sizeRelV>
          </wp:anchor>
        </w:drawing>
      </w:r>
      <w:r w:rsidR="00250954">
        <w:rPr>
          <w:rFonts w:ascii="Times New Roman" w:hAnsi="Times New Roman" w:cs="Times New Roman"/>
        </w:rPr>
        <w:t>REVISADO</w:t>
      </w:r>
    </w:p>
    <w:p w14:paraId="1AFB7906" w14:textId="11600160" w:rsidR="009F7B0E" w:rsidRDefault="009F7B0E" w:rsidP="00DE4DB7">
      <w:pPr>
        <w:spacing w:line="240" w:lineRule="auto"/>
        <w:ind w:left="-426"/>
        <w:jc w:val="both"/>
        <w:rPr>
          <w:rFonts w:ascii="Times New Roman" w:hAnsi="Times New Roman" w:cs="Times New Roman"/>
        </w:rPr>
      </w:pPr>
    </w:p>
    <w:p w14:paraId="160BCCBF" w14:textId="011B46C6" w:rsidR="009F7B0E" w:rsidRDefault="009F7B0E" w:rsidP="00DE4DB7">
      <w:pPr>
        <w:spacing w:line="240" w:lineRule="auto"/>
        <w:ind w:left="-426"/>
        <w:jc w:val="both"/>
        <w:rPr>
          <w:rFonts w:ascii="Times New Roman" w:hAnsi="Times New Roman" w:cs="Times New Roman"/>
        </w:rPr>
      </w:pPr>
    </w:p>
    <w:p w14:paraId="2785D994" w14:textId="0E76D401" w:rsidR="009F7B0E" w:rsidRDefault="009F7B0E" w:rsidP="00DE4DB7">
      <w:pPr>
        <w:spacing w:line="240" w:lineRule="auto"/>
        <w:ind w:left="-426"/>
        <w:jc w:val="both"/>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045A2F85" wp14:editId="1FA1FA39">
            <wp:simplePos x="0" y="0"/>
            <wp:positionH relativeFrom="column">
              <wp:posOffset>3888105</wp:posOffset>
            </wp:positionH>
            <wp:positionV relativeFrom="paragraph">
              <wp:posOffset>64770</wp:posOffset>
            </wp:positionV>
            <wp:extent cx="1276350" cy="1276350"/>
            <wp:effectExtent l="0" t="0" r="0" b="0"/>
            <wp:wrapNone/>
            <wp:docPr id="143036865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68650" name="Imagen 1430368650"/>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76350" cy="1276350"/>
                    </a:xfrm>
                    <a:prstGeom prst="rect">
                      <a:avLst/>
                    </a:prstGeom>
                  </pic:spPr>
                </pic:pic>
              </a:graphicData>
            </a:graphic>
            <wp14:sizeRelH relativeFrom="page">
              <wp14:pctWidth>0</wp14:pctWidth>
            </wp14:sizeRelH>
            <wp14:sizeRelV relativeFrom="page">
              <wp14:pctHeight>0</wp14:pctHeight>
            </wp14:sizeRelV>
          </wp:anchor>
        </w:drawing>
      </w:r>
    </w:p>
    <w:p w14:paraId="67D85323" w14:textId="1922F25E" w:rsidR="009F7B0E" w:rsidRDefault="009F7B0E" w:rsidP="00DE4DB7">
      <w:pPr>
        <w:spacing w:line="240" w:lineRule="auto"/>
        <w:ind w:left="-426"/>
        <w:jc w:val="both"/>
        <w:rPr>
          <w:rFonts w:ascii="Times New Roman" w:hAnsi="Times New Roman" w:cs="Times New Roman"/>
        </w:rPr>
      </w:pPr>
    </w:p>
    <w:p w14:paraId="4E89D80C" w14:textId="64B049A6" w:rsidR="009F7B0E" w:rsidRDefault="009F7B0E" w:rsidP="00DE4DB7">
      <w:pPr>
        <w:spacing w:line="240" w:lineRule="auto"/>
        <w:ind w:left="-426"/>
        <w:jc w:val="both"/>
        <w:rPr>
          <w:rFonts w:ascii="Times New Roman" w:hAnsi="Times New Roman" w:cs="Times New Roman"/>
        </w:rPr>
      </w:pPr>
    </w:p>
    <w:p w14:paraId="530E1389" w14:textId="000551D7" w:rsidR="009F7B0E" w:rsidRDefault="009F7B0E" w:rsidP="00DE4DB7">
      <w:pPr>
        <w:spacing w:line="240" w:lineRule="auto"/>
        <w:ind w:left="-426"/>
        <w:jc w:val="center"/>
        <w:rPr>
          <w:rFonts w:ascii="Times New Roman" w:hAnsi="Times New Roman" w:cs="Times New Roman"/>
        </w:rPr>
      </w:pPr>
      <w:r w:rsidRPr="009F7B0E">
        <w:rPr>
          <w:rFonts w:ascii="Times New Roman" w:hAnsi="Times New Roman" w:cs="Times New Roman"/>
        </w:rPr>
        <w:t>__________________________</w:t>
      </w:r>
      <w:r>
        <w:rPr>
          <w:rFonts w:ascii="Times New Roman" w:hAnsi="Times New Roman" w:cs="Times New Roman"/>
        </w:rPr>
        <w:t>__________</w:t>
      </w:r>
      <w:r w:rsidRPr="009F7B0E">
        <w:rPr>
          <w:rFonts w:ascii="Times New Roman" w:hAnsi="Times New Roman" w:cs="Times New Roman"/>
        </w:rPr>
        <w:t xml:space="preserve"> </w:t>
      </w:r>
      <w:r>
        <w:rPr>
          <w:rFonts w:ascii="Times New Roman" w:hAnsi="Times New Roman" w:cs="Times New Roman"/>
        </w:rPr>
        <w:br/>
      </w:r>
      <w:r>
        <w:rPr>
          <w:rFonts w:ascii="Times New Roman" w:hAnsi="Times New Roman" w:cs="Times New Roman"/>
        </w:rPr>
        <w:br/>
        <w:t>M</w:t>
      </w:r>
      <w:r w:rsidRPr="009F7B0E">
        <w:rPr>
          <w:rFonts w:ascii="Times New Roman" w:hAnsi="Times New Roman" w:cs="Times New Roman"/>
        </w:rPr>
        <w:t>.</w:t>
      </w:r>
      <w:r>
        <w:rPr>
          <w:rFonts w:ascii="Times New Roman" w:hAnsi="Times New Roman" w:cs="Times New Roman"/>
        </w:rPr>
        <w:t>Sc</w:t>
      </w:r>
      <w:r w:rsidRPr="009F7B0E">
        <w:rPr>
          <w:rFonts w:ascii="Times New Roman" w:hAnsi="Times New Roman" w:cs="Times New Roman"/>
        </w:rPr>
        <w:t xml:space="preserve"> Juan Carlos Bocel</w:t>
      </w:r>
      <w:r>
        <w:rPr>
          <w:rFonts w:ascii="Times New Roman" w:hAnsi="Times New Roman" w:cs="Times New Roman"/>
        </w:rPr>
        <w:t xml:space="preserve"> </w:t>
      </w:r>
      <w:r w:rsidRPr="009F7B0E">
        <w:rPr>
          <w:rFonts w:ascii="Times New Roman" w:hAnsi="Times New Roman" w:cs="Times New Roman"/>
        </w:rPr>
        <w:t>Chiroy</w:t>
      </w:r>
      <w:r>
        <w:rPr>
          <w:rFonts w:ascii="Times New Roman" w:hAnsi="Times New Roman" w:cs="Times New Roman"/>
        </w:rPr>
        <w:br/>
      </w:r>
      <w:r w:rsidRPr="009F7B0E">
        <w:rPr>
          <w:rFonts w:ascii="Times New Roman" w:hAnsi="Times New Roman" w:cs="Times New Roman"/>
        </w:rPr>
        <w:t>CONAP</w:t>
      </w:r>
      <w:r>
        <w:rPr>
          <w:rFonts w:ascii="Times New Roman" w:hAnsi="Times New Roman" w:cs="Times New Roman"/>
        </w:rPr>
        <w:br/>
      </w:r>
      <w:r w:rsidRPr="009F7B0E">
        <w:rPr>
          <w:rFonts w:ascii="Times New Roman" w:hAnsi="Times New Roman" w:cs="Times New Roman"/>
        </w:rPr>
        <w:t>Encargado Unidad Técnica Atitlán</w:t>
      </w:r>
      <w:r>
        <w:rPr>
          <w:rFonts w:ascii="Times New Roman" w:hAnsi="Times New Roman" w:cs="Times New Roman"/>
        </w:rPr>
        <w:br/>
      </w:r>
      <w:r w:rsidRPr="009F7B0E">
        <w:rPr>
          <w:rFonts w:ascii="Times New Roman" w:hAnsi="Times New Roman" w:cs="Times New Roman"/>
        </w:rPr>
        <w:t>RUMCLA-SOLOLÁ</w:t>
      </w:r>
    </w:p>
    <w:p w14:paraId="334828A1" w14:textId="5ACF8FF0" w:rsidR="00250954" w:rsidRDefault="00250954">
      <w:pPr>
        <w:rPr>
          <w:rFonts w:ascii="Times New Roman" w:hAnsi="Times New Roman" w:cs="Times New Roman"/>
        </w:rPr>
      </w:pPr>
      <w:r>
        <w:rPr>
          <w:rFonts w:ascii="Times New Roman" w:hAnsi="Times New Roman" w:cs="Times New Roman"/>
        </w:rPr>
        <w:br w:type="page"/>
      </w:r>
    </w:p>
    <w:p w14:paraId="707BE20C" w14:textId="77777777" w:rsidR="00B60A3A" w:rsidRPr="00B60A3A" w:rsidRDefault="00B60A3A" w:rsidP="00B60A3A">
      <w:pPr>
        <w:spacing w:line="240" w:lineRule="auto"/>
        <w:ind w:left="-426"/>
        <w:jc w:val="both"/>
        <w:rPr>
          <w:rFonts w:ascii="Times New Roman" w:hAnsi="Times New Roman" w:cs="Times New Roman"/>
          <w:b/>
          <w:bCs/>
        </w:rPr>
      </w:pPr>
      <w:r w:rsidRPr="00B60A3A">
        <w:rPr>
          <w:rFonts w:ascii="Times New Roman" w:hAnsi="Times New Roman" w:cs="Times New Roman"/>
          <w:b/>
          <w:bCs/>
        </w:rPr>
        <w:lastRenderedPageBreak/>
        <w:t>12. Tabla consolidada final por guardarecurso</w:t>
      </w:r>
    </w:p>
    <w:p w14:paraId="5B9BD21B"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La siguiente tabla presenta el consolidado del periodo seleccionado. Cada fila corresponde a un guardarecurso y resume los monitoreos de reforestación reportados, área reforestada, municipios cubiertos, especies reportadas, tipo de reforestación principal y otros indicadores operativos calculados para el periodo.</w:t>
      </w:r>
    </w:p>
    <w:p w14:paraId="03D83772" w14:textId="77777777" w:rsidR="00B60A3A" w:rsidRPr="00B60A3A" w:rsidRDefault="00B60A3A" w:rsidP="00B60A3A">
      <w:pPr>
        <w:spacing w:line="240" w:lineRule="auto"/>
        <w:ind w:left="-426"/>
        <w:jc w:val="both"/>
        <w:rPr>
          <w:rFonts w:ascii="Times New Roman" w:hAnsi="Times New Roman" w:cs="Times New Roman"/>
        </w:rPr>
      </w:pPr>
      <w:r w:rsidRPr="00B60A3A">
        <w:rPr>
          <w:rFonts w:ascii="Times New Roman" w:hAnsi="Times New Roman" w:cs="Times New Roman"/>
        </w:rPr>
        <w:t>{{TABLA_GUARDARECURSOS}}</w:t>
      </w:r>
    </w:p>
    <w:p w14:paraId="1B113AC9" w14:textId="77777777" w:rsidR="00F85039" w:rsidRPr="009F7B0E" w:rsidRDefault="00F85039" w:rsidP="00B60A3A">
      <w:pPr>
        <w:spacing w:line="240" w:lineRule="auto"/>
        <w:ind w:left="-426"/>
        <w:jc w:val="both"/>
        <w:rPr>
          <w:rFonts w:ascii="Times New Roman" w:hAnsi="Times New Roman" w:cs="Times New Roman"/>
        </w:rPr>
      </w:pPr>
    </w:p>
    <w:sectPr w:rsidR="00F85039" w:rsidRPr="009F7B0E">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BE858" w14:textId="77777777" w:rsidR="00CF73F0" w:rsidRDefault="00CF73F0" w:rsidP="009F7B0E">
      <w:pPr>
        <w:spacing w:after="0" w:line="240" w:lineRule="auto"/>
      </w:pPr>
      <w:r>
        <w:separator/>
      </w:r>
    </w:p>
  </w:endnote>
  <w:endnote w:type="continuationSeparator" w:id="0">
    <w:p w14:paraId="506125B2" w14:textId="77777777" w:rsidR="00CF73F0" w:rsidRDefault="00CF73F0" w:rsidP="009F7B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9650D" w14:textId="77777777" w:rsidR="00965551" w:rsidRDefault="0096555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0E6D6" w14:textId="77777777" w:rsidR="00965551" w:rsidRDefault="0096555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4A4C" w14:textId="77777777" w:rsidR="00965551" w:rsidRDefault="009655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6517F" w14:textId="77777777" w:rsidR="00CF73F0" w:rsidRDefault="00CF73F0" w:rsidP="009F7B0E">
      <w:pPr>
        <w:spacing w:after="0" w:line="240" w:lineRule="auto"/>
      </w:pPr>
      <w:r>
        <w:separator/>
      </w:r>
    </w:p>
  </w:footnote>
  <w:footnote w:type="continuationSeparator" w:id="0">
    <w:p w14:paraId="702F5C5A" w14:textId="77777777" w:rsidR="00CF73F0" w:rsidRDefault="00CF73F0" w:rsidP="009F7B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13031" w14:textId="77777777" w:rsidR="00965551" w:rsidRDefault="0096555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A4C5D" w14:textId="6D4BFEED" w:rsidR="009F7B0E" w:rsidRPr="00965551" w:rsidRDefault="0022183B" w:rsidP="0022183B">
    <w:pPr>
      <w:pStyle w:val="Encabezado"/>
      <w:tabs>
        <w:tab w:val="clear" w:pos="8838"/>
        <w:tab w:val="right" w:pos="8647"/>
      </w:tabs>
      <w:ind w:left="851"/>
      <w:jc w:val="center"/>
      <w:rPr>
        <w:rFonts w:ascii="Times New Roman" w:hAnsi="Times New Roman" w:cs="Times New Roman"/>
        <w:b/>
        <w:bCs/>
        <w:sz w:val="24"/>
        <w:szCs w:val="24"/>
      </w:rPr>
    </w:pPr>
    <w:r w:rsidRPr="0022183B">
      <w:rPr>
        <w:rFonts w:ascii="Times New Roman" w:hAnsi="Times New Roman" w:cs="Times New Roman"/>
        <w:b/>
        <w:bCs/>
        <w:noProof/>
        <w:sz w:val="24"/>
        <w:szCs w:val="24"/>
      </w:rPr>
      <w:drawing>
        <wp:anchor distT="0" distB="0" distL="114300" distR="114300" simplePos="0" relativeHeight="251659264" behindDoc="0" locked="0" layoutInCell="1" allowOverlap="1" wp14:anchorId="707F4BC5" wp14:editId="67A600E8">
          <wp:simplePos x="0" y="0"/>
          <wp:positionH relativeFrom="column">
            <wp:posOffset>-325755</wp:posOffset>
          </wp:positionH>
          <wp:positionV relativeFrom="paragraph">
            <wp:posOffset>-396240</wp:posOffset>
          </wp:positionV>
          <wp:extent cx="883920" cy="976732"/>
          <wp:effectExtent l="0" t="0" r="0" b="0"/>
          <wp:wrapNone/>
          <wp:docPr id="1835539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39942" name="Imagen 1835539942"/>
                  <pic:cNvPicPr/>
                </pic:nvPicPr>
                <pic:blipFill>
                  <a:blip r:embed="rId1">
                    <a:extLst>
                      <a:ext uri="{28A0092B-C50C-407E-A947-70E740481C1C}">
                        <a14:useLocalDpi xmlns:a14="http://schemas.microsoft.com/office/drawing/2010/main" val="0"/>
                      </a:ext>
                    </a:extLst>
                  </a:blip>
                  <a:stretch>
                    <a:fillRect/>
                  </a:stretch>
                </pic:blipFill>
                <pic:spPr>
                  <a:xfrm>
                    <a:off x="0" y="0"/>
                    <a:ext cx="883920" cy="976732"/>
                  </a:xfrm>
                  <a:prstGeom prst="rect">
                    <a:avLst/>
                  </a:prstGeom>
                </pic:spPr>
              </pic:pic>
            </a:graphicData>
          </a:graphic>
          <wp14:sizeRelH relativeFrom="page">
            <wp14:pctWidth>0</wp14:pctWidth>
          </wp14:sizeRelH>
          <wp14:sizeRelV relativeFrom="page">
            <wp14:pctHeight>0</wp14:pctHeight>
          </wp14:sizeRelV>
        </wp:anchor>
      </w:drawing>
    </w:r>
    <w:r w:rsidRPr="0022183B">
      <w:rPr>
        <w:rFonts w:ascii="Times New Roman" w:hAnsi="Times New Roman" w:cs="Times New Roman"/>
        <w:b/>
        <w:bCs/>
        <w:sz w:val="24"/>
        <w:szCs w:val="24"/>
      </w:rPr>
      <w:t xml:space="preserve">Consejo Nacional de Áreas Protegidas Dirección Regional Altiplano Central </w:t>
    </w:r>
    <w:r w:rsidRPr="0022183B">
      <w:rPr>
        <w:rFonts w:ascii="Times New Roman" w:hAnsi="Times New Roman" w:cs="Times New Roman"/>
        <w:b/>
        <w:bCs/>
        <w:sz w:val="24"/>
        <w:szCs w:val="24"/>
      </w:rPr>
      <w:br/>
      <w:t xml:space="preserve"> Sistema de monitoreo </w:t>
    </w:r>
    <w:r w:rsidR="00965551" w:rsidRPr="00965551">
      <w:rPr>
        <w:rFonts w:ascii="Times New Roman" w:hAnsi="Times New Roman" w:cs="Times New Roman"/>
        <w:b/>
        <w:bCs/>
      </w:rPr>
      <w:t>AC282 Reforestaciones por compromiso</w:t>
    </w:r>
  </w:p>
  <w:p w14:paraId="3826229E" w14:textId="77777777" w:rsidR="009F7B0E" w:rsidRDefault="009F7B0E">
    <w:pPr>
      <w:pStyle w:val="Encabezado"/>
    </w:pPr>
  </w:p>
  <w:p w14:paraId="7D6A1E99" w14:textId="77777777" w:rsidR="009F7B0E" w:rsidRDefault="009F7B0E">
    <w:pPr>
      <w:pStyle w:val="Encabezado"/>
    </w:pPr>
  </w:p>
  <w:p w14:paraId="59078BBE" w14:textId="061DA633" w:rsidR="009F7B0E" w:rsidRDefault="009F7B0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DEC31" w14:textId="77777777" w:rsidR="00965551" w:rsidRDefault="00965551">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B0E"/>
    <w:rsid w:val="000E5AB6"/>
    <w:rsid w:val="0022183B"/>
    <w:rsid w:val="00250954"/>
    <w:rsid w:val="003A7570"/>
    <w:rsid w:val="003C5412"/>
    <w:rsid w:val="00634451"/>
    <w:rsid w:val="007B0987"/>
    <w:rsid w:val="008C2C04"/>
    <w:rsid w:val="00907928"/>
    <w:rsid w:val="00965551"/>
    <w:rsid w:val="009F7B0E"/>
    <w:rsid w:val="00B60A3A"/>
    <w:rsid w:val="00BC3BF8"/>
    <w:rsid w:val="00BE0221"/>
    <w:rsid w:val="00CF73F0"/>
    <w:rsid w:val="00DE4DB7"/>
    <w:rsid w:val="00EE4A67"/>
    <w:rsid w:val="00F41A9C"/>
    <w:rsid w:val="00F52003"/>
    <w:rsid w:val="00F8503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A794F"/>
  <w15:chartTrackingRefBased/>
  <w15:docId w15:val="{54E1C269-7C18-4BE3-B548-9B52ED313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F7B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F7B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F7B0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F7B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F7B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F7B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7B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7B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7B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7B0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F7B0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F7B0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F7B0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F7B0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F7B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7B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7B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7B0E"/>
    <w:rPr>
      <w:rFonts w:eastAsiaTheme="majorEastAsia" w:cstheme="majorBidi"/>
      <w:color w:val="272727" w:themeColor="text1" w:themeTint="D8"/>
    </w:rPr>
  </w:style>
  <w:style w:type="paragraph" w:styleId="Ttulo">
    <w:name w:val="Title"/>
    <w:basedOn w:val="Normal"/>
    <w:next w:val="Normal"/>
    <w:link w:val="TtuloCar"/>
    <w:uiPriority w:val="10"/>
    <w:qFormat/>
    <w:rsid w:val="009F7B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7B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7B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7B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7B0E"/>
    <w:pPr>
      <w:spacing w:before="160"/>
      <w:jc w:val="center"/>
    </w:pPr>
    <w:rPr>
      <w:i/>
      <w:iCs/>
      <w:color w:val="404040" w:themeColor="text1" w:themeTint="BF"/>
    </w:rPr>
  </w:style>
  <w:style w:type="character" w:customStyle="1" w:styleId="CitaCar">
    <w:name w:val="Cita Car"/>
    <w:basedOn w:val="Fuentedeprrafopredeter"/>
    <w:link w:val="Cita"/>
    <w:uiPriority w:val="29"/>
    <w:rsid w:val="009F7B0E"/>
    <w:rPr>
      <w:i/>
      <w:iCs/>
      <w:color w:val="404040" w:themeColor="text1" w:themeTint="BF"/>
    </w:rPr>
  </w:style>
  <w:style w:type="paragraph" w:styleId="Prrafodelista">
    <w:name w:val="List Paragraph"/>
    <w:basedOn w:val="Normal"/>
    <w:uiPriority w:val="34"/>
    <w:qFormat/>
    <w:rsid w:val="009F7B0E"/>
    <w:pPr>
      <w:ind w:left="720"/>
      <w:contextualSpacing/>
    </w:pPr>
  </w:style>
  <w:style w:type="character" w:styleId="nfasisintenso">
    <w:name w:val="Intense Emphasis"/>
    <w:basedOn w:val="Fuentedeprrafopredeter"/>
    <w:uiPriority w:val="21"/>
    <w:qFormat/>
    <w:rsid w:val="009F7B0E"/>
    <w:rPr>
      <w:i/>
      <w:iCs/>
      <w:color w:val="0F4761" w:themeColor="accent1" w:themeShade="BF"/>
    </w:rPr>
  </w:style>
  <w:style w:type="paragraph" w:styleId="Citadestacada">
    <w:name w:val="Intense Quote"/>
    <w:basedOn w:val="Normal"/>
    <w:next w:val="Normal"/>
    <w:link w:val="CitadestacadaCar"/>
    <w:uiPriority w:val="30"/>
    <w:qFormat/>
    <w:rsid w:val="009F7B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F7B0E"/>
    <w:rPr>
      <w:i/>
      <w:iCs/>
      <w:color w:val="0F4761" w:themeColor="accent1" w:themeShade="BF"/>
    </w:rPr>
  </w:style>
  <w:style w:type="character" w:styleId="Referenciaintensa">
    <w:name w:val="Intense Reference"/>
    <w:basedOn w:val="Fuentedeprrafopredeter"/>
    <w:uiPriority w:val="32"/>
    <w:qFormat/>
    <w:rsid w:val="009F7B0E"/>
    <w:rPr>
      <w:b/>
      <w:bCs/>
      <w:smallCaps/>
      <w:color w:val="0F4761" w:themeColor="accent1" w:themeShade="BF"/>
      <w:spacing w:val="5"/>
    </w:rPr>
  </w:style>
  <w:style w:type="paragraph" w:styleId="Encabezado">
    <w:name w:val="header"/>
    <w:basedOn w:val="Normal"/>
    <w:link w:val="EncabezadoCar"/>
    <w:uiPriority w:val="99"/>
    <w:unhideWhenUsed/>
    <w:rsid w:val="009F7B0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F7B0E"/>
  </w:style>
  <w:style w:type="paragraph" w:styleId="Piedepgina">
    <w:name w:val="footer"/>
    <w:basedOn w:val="Normal"/>
    <w:link w:val="PiedepginaCar"/>
    <w:uiPriority w:val="99"/>
    <w:unhideWhenUsed/>
    <w:rsid w:val="009F7B0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F7B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2874</Words>
  <Characters>19228</Characters>
  <Application>Microsoft Office Word</Application>
  <DocSecurity>0</DocSecurity>
  <Lines>315</Lines>
  <Paragraphs>107</Paragraphs>
  <ScaleCrop>false</ScaleCrop>
  <Company/>
  <LinksUpToDate>false</LinksUpToDate>
  <CharactersWithSpaces>21995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Lisandro  Alvarado Pol</dc:creator>
  <cp:keywords/>
  <dc:description/>
  <cp:lastModifiedBy>Jose Lisandro  Alvarado Pol</cp:lastModifiedBy>
  <cp:revision>13</cp:revision>
  <dcterms:created xsi:type="dcterms:W3CDTF">2026-05-24T02:19:00Z</dcterms:created>
  <dcterms:modified xsi:type="dcterms:W3CDTF">2026-05-26T06:12:00Z</dcterms:modified>
</cp:coreProperties>
</file>